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Staff Machine Learning Scientist with over 11 years of experience in software development, particularly in designing, building, and deploying deep learning models for web and mobile applications. Proficient in Python, PyTorch, NumPy, and with proven expertise in developing novel neural network architectures for complex biological datasets. Excellent collaborator and mentor with a strong commitment to knowledge sharing and driving technical growth in multi-disciplinary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PyTorch, TensorFlow, NumPy, Pandas, SciPy, FastAPI, scikit-learn,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Formats:</w:t>
      </w:r>
      <w:r w:rsidRPr="00745DD3">
        <w:rPr>
          <w:rFonts w:ascii="Roboto Light" w:eastAsia="Roboto Light" w:hAnsi="Roboto Light" w:cs="Roboto Light"/>
          <w:color w:val="404040" w:themeColor="text1" w:themeTint="BF"/>
          <w:sz w:val="20"/>
          <w:szCs w:val="20"/>
        </w:rPr>
        <w:t xml:space="preserve"> HDF5, CSV, JSON, mzML, Zarr,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Docker, Kubernetes, GCP,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xml:space="preserve"> Neural Networks, Deep Learning, Reinforcement Learning, Supervised Learning, Unsupervised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custom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for biological data analysis, enhancing the model's ability to interpret complex </w:t>
      </w:r>
      <w:r w:rsidRPr="00745DD3">
        <w:rPr>
          <w:rFonts w:ascii="Roboto Light" w:eastAsia="Roboto Light" w:hAnsi="Roboto Light" w:cs="Roboto Light"/>
          <w:b/>
          <w:bCs/>
          <w:color w:val="404040" w:themeColor="text1" w:themeTint="BF"/>
          <w:sz w:val="20"/>
          <w:szCs w:val="20"/>
        </w:rPr>
        <w:t xml:space="preserve">mass spectrometry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while ensuring computational efficiency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translate high-level scientific goals into actionable technical requirements, focusing on creating bespoke model architectures tailored to unique scientific domains and data modalities.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hands-on expertise in implementing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actively contributing to code reviews and maintaining high standards of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existing models and proposed enhancements based on the latest industry research and trends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biological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team at the forefront of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scientists in effective coding practices and the nuances of </w:t>
      </w:r>
      <w:r w:rsidRPr="00745DD3">
        <w:rPr>
          <w:rFonts w:ascii="Roboto Light" w:eastAsia="Roboto Light" w:hAnsi="Roboto Light" w:cs="Roboto Light"/>
          <w:b/>
          <w:bCs/>
          <w:color w:val="404040" w:themeColor="text1" w:themeTint="BF"/>
          <w:sz w:val="20"/>
          <w:szCs w:val="20"/>
        </w:rPr>
        <w:t xml:space="preserve">neural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fostering a culture of continuous learning and technical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experiments to validate the performance of the developed models, ensuring adherence to scientific rigor while meeting project milestones and delivery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research projects that investigated new methodologies in </w:t>
      </w:r>
      <w:r w:rsidRPr="00745DD3">
        <w:rPr>
          <w:rFonts w:ascii="Roboto Light" w:eastAsia="Roboto Light" w:hAnsi="Roboto Light" w:cs="Roboto Light"/>
          <w:b/>
          <w:bCs/>
          <w:color w:val="404040" w:themeColor="text1" w:themeTint="BF"/>
          <w:sz w:val="20"/>
          <w:szCs w:val="20"/>
        </w:rPr>
        <w:t xml:space="preserve">molecular representation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the improvement of modeling capabilities and experimental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understanding of industry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within chemistry and biology, actively integrating novel techniques into existing workflows to optimize research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ability to manage and analyze large datasets by utilizing advanced data handling techniques and ensuring compliance with scientific data formats such as </w:t>
      </w:r>
      <w:r w:rsidRPr="00745DD3">
        <w:rPr>
          <w:rFonts w:ascii="Roboto Light" w:eastAsia="Roboto Light" w:hAnsi="Roboto Light" w:cs="Roboto Light"/>
          <w:b/>
          <w:bCs/>
          <w:color w:val="404040" w:themeColor="text1" w:themeTint="BF"/>
          <w:sz w:val="20"/>
          <w:szCs w:val="20"/>
        </w:rPr>
        <w:t xml:space="preserve">HDF5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mzML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model outcomes to stakeholders, utilizing effective communication skills to explain complex technical concepts in an accessible manner, thus promoting cross-departmental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implementation of robust testing frameworks, ensuring that deployed models adhered to the highest standards of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educational opportunities and attended conferences to represent the company and bring back insights that could drive innovation and efficiency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brainstorming sessions to ideate on possible improvements to existing workflows and tools, encouraging a collaborative and inclusive workplace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establishing best practices for coding standards and documentation that ensured high-quality artifacts that meet both technical and scientific demands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for model outputs, helping team members and stakeholders easily interpret complex results and visualize data in a meaningful way.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and execution of web and mobile applications focusing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which enabled the organization to harness data for actionable insights and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designing and implementing scalable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applications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libraries and frameworks that abstracted complex algorithms into user-friendly APIs, which facilitated quicker adoption of machine learning techniques across various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high-quality software solutions that supported rigorous testing and efficient technical documentation aligned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introduced best practices regarding </w:t>
      </w: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the overall quality and maintainability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to support application deployment and model training, optimizing performance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monitoring and performance tuning of machine learning models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functioning across multiple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development efforts with backend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cohesive and dynamic user interfaces that engage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training junior engineers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 model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growth and improving team dynamics through mentorship initiatives and knowledge sharing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opportunities for innovation by researching the latest trends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findings to the broader team to inspire experimentation and new project directions.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protocols that improved model efficacy, allowing data scientists to leverage accuracy improvements while ensuring robust error handling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charge in a multi-departmental initiative aimed at improving communication between data science and engineering teams, resulting in enhanced alignment on project goals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