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over 11 years of expertise in software development, specifically focusing on machine learning, risk management tools, and the implementation of production-grade ML models in real-world environments. Proven track record in leading technical initiatives, fostering collaboration across teams, and communicating complex data science concepts effectively to diverse audiences. Passionate about applying innovative data science methodologies to optimize e-commerce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PyTorch, Scikit-learn, Keras, XGBoost, LightGBM,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Hadoop, Kafka, Airflow, SQL Server,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xml:space="preserve"> Tableau, Power BI, Matplotlib, Seaborn, D3.js,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 and Libraries:</w:t>
      </w:r>
      <w:r w:rsidRPr="00745DD3">
        <w:rPr>
          <w:rFonts w:ascii="Roboto Light" w:eastAsia="Roboto Light" w:hAnsi="Roboto Light" w:cs="Roboto Light"/>
          <w:color w:val="404040" w:themeColor="text1" w:themeTint="BF"/>
          <w:sz w:val="20"/>
          <w:szCs w:val="20"/>
        </w:rPr>
        <w:t xml:space="preserve"> Flask, FastAPI, Django, Pandas, Numpy, OpenCV</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creative solutions for fraud detection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tailored specifically for e-commerce platforms, enhancing customer transaction security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and optimize sophisticated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streamlined workflows, significantly improving team productivity and model accuracy in diverse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design and creation of risk management tools, applying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transactional data and drive meaningful insights for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novel </w:t>
      </w:r>
      <w:r w:rsidRPr="00745DD3">
        <w:rPr>
          <w:rFonts w:ascii="Roboto Light" w:eastAsia="Roboto Light" w:hAnsi="Roboto Light" w:cs="Roboto Light"/>
          <w:b/>
          <w:bCs/>
          <w:color w:val="404040" w:themeColor="text1" w:themeTint="BF"/>
          <w:sz w:val="20"/>
          <w:szCs w:val="20"/>
        </w:rPr>
        <w:t xml:space="preserve">feature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resulted in enhanced model performance; executed extensive experiments to evaluate model efficacy through both offline and online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statistical concepts through rich visualizations, leveraging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clearly to stakeholders, ensuring comprehension by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data scientists in best coding practices and </w:t>
      </w:r>
      <w:r w:rsidRPr="00745DD3">
        <w:rPr>
          <w:rFonts w:ascii="Roboto Light" w:eastAsia="Roboto Light" w:hAnsi="Roboto Light" w:cs="Roboto Light"/>
          <w:b/>
          <w:bCs/>
          <w:color w:val="404040" w:themeColor="text1" w:themeTint="BF"/>
          <w:sz w:val="20"/>
          <w:szCs w:val="20"/>
        </w:rPr>
        <w:t xml:space="preserve">production-grade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nurtures innovative thinking and technical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of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employing robust monitoring practices to maintain model integrity and performance over time, adapting quickly to shifting data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t>
      </w:r>
      <w:r w:rsidRPr="00745DD3">
        <w:rPr>
          <w:rFonts w:ascii="Roboto Light" w:eastAsia="Roboto Light" w:hAnsi="Roboto Light" w:cs="Roboto Light"/>
          <w:b/>
          <w:bCs/>
          <w:color w:val="404040" w:themeColor="text1" w:themeTint="BF"/>
          <w:sz w:val="20"/>
          <w:szCs w:val="20"/>
        </w:rPr>
        <w:t xml:space="preserve">machine learning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automation strategies, involving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thereby streamlining data processing and enabling faster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align data science projects with business objectives, fostering a culture of analytical thought within the organization through targeted workshops and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relationships with stakeholders across multiple departments to successfully translate business needs into robust data science solutions, driving collective success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usage of open-source </w:t>
      </w:r>
      <w:r w:rsidRPr="00745DD3">
        <w:rPr>
          <w:rFonts w:ascii="Roboto Light" w:eastAsia="Roboto Light" w:hAnsi="Roboto Light" w:cs="Roboto Light"/>
          <w:b/>
          <w:bCs/>
          <w:color w:val="404040" w:themeColor="text1" w:themeTint="BF"/>
          <w:sz w:val="20"/>
          <w:szCs w:val="20"/>
        </w:rPr>
        <w:t xml:space="preserve">ML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conducting workshops, ultimately empowering team members to leverage cutting-edge technologies in their projects to remain competitive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models through rigorous evaluation techniques while showcasing the impact on fraud detection rates, ultimately improving model responsiveness and reliability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project management to enhance team engagement and accountability, enabling timely delivery of high-quality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within a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meetings focused on product direction and enhancements, influencing outcomes based on comprehensive analytic findings and innovative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rigorous experimental design and evaluation, enhancing the overall reliability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maintenance of various </w:t>
      </w:r>
      <w:r w:rsidRPr="00745DD3">
        <w:rPr>
          <w:rFonts w:ascii="Roboto Light" w:eastAsia="Roboto Light" w:hAnsi="Roboto Light" w:cs="Roboto Light"/>
          <w:b/>
          <w:bCs/>
          <w:color w:val="404040" w:themeColor="text1" w:themeTint="BF"/>
          <w:sz w:val="20"/>
          <w:szCs w:val="20"/>
        </w:rPr>
        <w:t xml:space="preserve">software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system efficiency and reliability while adhering to security best practices across Microsoft’s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software solutions that facilitated high-performance computing tasks, ultimately driving profitability through optimized operational efficiency and product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global teams to gather requirements and specifications, translating them into effective software solutions that addressed complex user needs through clear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offered insights on best practices in software development, helping to foster a culture of high standards of engineering excellence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assisting in data extraction and analysis to aid in product feature development discussions and effectively align with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deploying cloud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integration of scalable architecture that supported future growth and adaptability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intensive team brainstorming sessions, contributing to innovative design ideas that merged customer feedback with technical expertise to enhance software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code regressions and improving the overall quality of software releases across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frameworks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aid regression testing, improving efficiency in development processes and fostering continuous integration practices across the software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that educated team members on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technologies, including agile methodologies, fostering knowledge sharing and professional growth within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