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machine learning, data science, and statistical analysis. Proven ability to lead teams in designing and implementing robust data solutions that drive business performance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Frameworks:</w:t>
      </w:r>
      <w:r w:rsidRPr="00745DD3">
        <w:rPr>
          <w:rFonts w:ascii="Roboto Light" w:eastAsia="Roboto Light" w:hAnsi="Roboto Light" w:cs="Roboto Light"/>
          <w:color w:val="404040" w:themeColor="text1" w:themeTint="BF"/>
          <w:sz w:val="20"/>
          <w:szCs w:val="20"/>
        </w:rPr>
        <w:t xml:space="preserve"> TensorFlow, scikit-learn, Keras, PyTorch, H2O.ai, XGBoost, LightGBM, catboost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Flink, Dask, Cassandra, Elasticsearch,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MLflow,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Looker, Power BI, D3.js, Matplotlib, Seaborn, Plotly,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predictive analytics solutions, significantly improving operational efficiency by transforming data into actionable insights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advanced statistical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development and deployment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cross-functional teams to adopt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 workflows for systematic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diverse data sources into unified analytical frameworks, enhancing the business's ability to leverage data through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fostering an environment of continuous learning and promoting best practices in programming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data pipelines and automated processes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transformation and analysis for real-time decision-making in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key performance indicators, utilizing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success metrics and refine project objectives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model evaluation, leveraging techniques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Bayesian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hypotheses and enhance model accuracy before production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experimental designs and </w:t>
      </w:r>
      <w:r w:rsidRPr="00745DD3">
        <w:rPr>
          <w:rFonts w:ascii="Roboto Light" w:eastAsia="Roboto Light" w:hAnsi="Roboto Light" w:cs="Roboto Light"/>
          <w:b/>
          <w:bCs/>
          <w:color w:val="404040" w:themeColor="text1" w:themeTint="BF"/>
          <w:sz w:val="20"/>
          <w:szCs w:val="20"/>
        </w:rPr>
        <w:t xml:space="preserve">machine learning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reproducibility for subsequent analyses and team knowledge-sharing.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gathered business requirements from stakeholders, transforming ambiguous project goals into clear, actionable strategies using data-driven insights to meet organizational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in AI and machine learning to propose innovative solutions and advanced analytics initiatives, positioning the company as a leader in the transportation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best practices for data governance and security within data science, aligning practices with compliance standards essential for enterprise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integrate data analytics into the strategic planning process, equipping teams with the tools necessary for effective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use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storage and machine learning workloads, resulting in improved project turnaround times while utilizing resources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to deliver key metrics and analytics to the leadership team, ensuring a clear understanding of ongoing projects and their impact on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and knowledge-sharing activities, representing the organization at industry conferences to showcase innovative data solutions and foster professional connections.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responsiveness for end-users and internal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diverse services, enabling communication between various software applications and improving overall system efficiency and functionality in deployed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to develop features and resolve defects in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consistently meeting project deadlines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tech stacks, optimizing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with responsive design principles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web interfaces that catered to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and implementing improvements to code quality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facilitate continuous integration and deployment pipelines, ensuring high code quality and reducing the incidence of defects in live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tuning of applications to enhance application speed and user experience through ongoing analysis and refinement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gather requirements, translating user stories into functional specifications, and ensuring that development efforts supported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initiatives to cultivate junior developers' skills in full-stack development and foster a collaborative and knowledge-sharing environment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data analysis and visualization tasks using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findings into actionable insights for product improvements and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streamline processes and improve efficiency within development cycles, regularly identifying opportunities for automation and optimization in project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