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software development, specializing in web and mobile applications. Proven expertise in leading data science initiatives, optimizing procurement processes, and mentoring cross-functional teams. Excels in translating complex technical concepts for diverse stakeholders and driving consensus through data-driven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Scala,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NumPy,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Redshift, dbt,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Matplotlib, Seaborn, Plotly,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collaborations across Engineering, Product, Customer Success, and Data teams, ensuring alignment towards achieving measurable outcomes in data science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to optimize procurement, significantly enhancing data processing efficiency and enabling robust predictive analytics for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trust with customer organizations through effective communication, demonstrating data science capabilities and fostering understanding of project limitations and potential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models to improve procurement processes, optimizing pricing algorithms and demand forecasting to drive decision-making based on actionable insights derived from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by fostering a culture of continuous learning, sharing best practices, and promoting the adoption of innovative tools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Engineers to define and evolve ML infrastructure, ensuring seamless deployment and operational effectiveness for machine learning models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work to executive leadership and non-technical stakeholders in straightforward terms, facilitating strategic decision-making rooted in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management discussions, shaping product features and enhancements by leveraging data insights to align our development efforts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evaluation frameworks for AI systems integrated into procurement workflows, thereby enhancing the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informed about emerging trends in ML and AI, ensuring the team is equipped with the latest tools and techniques to maintain our competitive edge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back-end data infrastructure for analytics projects, ensuring the high availability and reliability of data for analysis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data models that catered to complex analytical needs, allowing other teams to leverage these datasets in their workflows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solutions using AWS, contributing to the optimization and automation of data ingestion processes, resulting in reduced latency in data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cross-functional initiatives involving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that supported executive-level reporting and tactical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code reviews and mentoring sessions that improved the overall code quality and enhanced collaboration between software developers and data science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of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operational efficiency and enabling rapid iterations based on stakeholder feedback and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 diverse set of stakeholders to gather insights on their data usage patterns, facilitating the development of tailored data solutions that addressed specific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data science methodologies and best practices by documenting successful case studies and presenting them to the team for collective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