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Staff Data Engineer with over 11 years in software development, emphasizing expertise in Python, SQL, and cloud-based data infrastructures. Proven history of building scalable data analytics applications in healthcare and fostering cross-functional collaborations to enhance operational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Postgres, MySQL, MongoDB, Oracle,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DBT, Fivetran, Hightouch, Apache Kafka, Apache Spark,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ELT, ETL, APIs, GraphQL,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Postman, JUnit,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ETL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extraction, transformation, and loading processes for diverse datasets in the healthcare industry, promoting accuracy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end-to-end data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secure storage and access to healthcare analytics that support clinical decision-making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stakeholders to define project scopes and requirements, translating business needs into technical specifications that direct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data pipeline reliability and performance through strategic system optimizations, introducing automated testing to ensure code quality and adherence to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governance and privacy in compliance with healthcare regulations, consistently advocating for data security measures within engineering processes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data manipulation, fostering a culture of learning and knowledge sharing that benefitted the entire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strategies for real-time data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to make immediate data-driven decisions in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datasets to uncover insights that drove operational improvements, applying advanced SQL queries and data visualization techniques to present findings to clinical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patient data trends, allowing clinical staff to monitor outcomes and adjust care plans proactively in alignment with patient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streamline workflows by developing APIs that connect disparate systems, significantly reducing lookup times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 modern data stack that integrates with various data sources,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ETL tool to ease data consolidation for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through full-stack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 user experience and providing timely access to healthcare resources that enhanced patient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implement new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the timely delivery of updates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maintained comprehensive documentation of systems and architecture, essential for onboarding new team members and ensuring continuity of operations through detailed knowledge transfer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workflows by introducing batch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vastly improving data handling speeds and quality of service provided to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regular code reviews and refactoring legacy code, which resulted in improved maintainability and reduction of technical debt across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code development and project management standards, significantly improving team efficiency and collaboration within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SQL queries, which resulted in a reduction of data retrieval times significantly within high-volume applications facilitating smoother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analysts to define key performance indicators, translating those metrics into actionable insights that informed product strategies and optimizations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