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AI, ML, and large language models. Proven track record in building scalable systems and collaborating effectively with stakeholders. Expert in employing production-grade AI solutions to enhance decision-making in the real estate and insurance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Flask,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Apache Spark, Hadoop,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OpenAI GPT, Claude, LLaMA, Scikit-Learn, Natural Language Toolkit (NLTK), SpaCy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transformed insurance and real estate decision-making processes, leveraging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w:t>
      </w:r>
      <w:r w:rsidRPr="00745DD3">
        <w:rPr>
          <w:rFonts w:ascii="Roboto Light" w:eastAsia="Roboto Light" w:hAnsi="Roboto Light" w:cs="Roboto Light"/>
          <w:b/>
          <w:bCs/>
          <w:color w:val="404040" w:themeColor="text1" w:themeTint="BF"/>
          <w:sz w:val="20"/>
          <w:szCs w:val="20"/>
        </w:rPr>
        <w:t xml:space="preserve">LLM-based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in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domain specialists and product teams to ensure AI solutions met both regulatory requirements and business needs, fostering strong collaboration and transparency throughout the product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integrating external knowledge bases and APIs, focusing on high availability and reliability of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performance of </w:t>
      </w:r>
      <w:r w:rsidRPr="00745DD3">
        <w:rPr>
          <w:rFonts w:ascii="Roboto Light" w:eastAsia="Roboto Light" w:hAnsi="Roboto Light" w:cs="Roboto Light"/>
          <w:b/>
          <w:bCs/>
          <w:color w:val="404040" w:themeColor="text1" w:themeTint="BF"/>
          <w:sz w:val="20"/>
          <w:szCs w:val="20"/>
        </w:rPr>
        <w:t xml:space="preserve">LLM-powered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meticulously tracking their reliability and observability metrics to maintain compliance with industry standards and best practices in regulatory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fine-tuning processes for prominent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them to domain-specific tasks that significantly improved operational efficiencies in the insurance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the organization, significantly improving the deployment pipelines for machine learning projects and ensuring that the development processes were streamlined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experiments to evaluate the performance of various </w:t>
      </w:r>
      <w:r w:rsidRPr="00745DD3">
        <w:rPr>
          <w:rFonts w:ascii="Roboto Light" w:eastAsia="Roboto Light" w:hAnsi="Roboto Light" w:cs="Roboto Light"/>
          <w:b/>
          <w:bCs/>
          <w:color w:val="404040" w:themeColor="text1" w:themeTint="BF"/>
          <w:sz w:val="20"/>
          <w:szCs w:val="20"/>
        </w:rPr>
        <w:t xml:space="preserve">transformer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enhance the effectiveness of applications in dynamic market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articulating complex technical concepts in an accessible manner to senior leadership and various stakeholders to ensure alignment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newly implemented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knowledge transfer and operational continuity across multiple departments throughout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drove innovation within the team by researching industry trends in </w:t>
      </w:r>
      <w:r w:rsidRPr="00745DD3">
        <w:rPr>
          <w:rFonts w:ascii="Roboto Light" w:eastAsia="Roboto Light" w:hAnsi="Roboto Light" w:cs="Roboto Light"/>
          <w:b/>
          <w:bCs/>
          <w:color w:val="404040" w:themeColor="text1" w:themeTint="BF"/>
          <w:sz w:val="20"/>
          <w:szCs w:val="20"/>
        </w:rPr>
        <w:t xml:space="preserve">machine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newly identified technologies into existing workflows to enhance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empowering team members to leverage these advancements in their projects and increasing overall project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create insights-driven presentations for stakeholders, ensuring that project implications were communicated clearly and effectively to non-technical audiences in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 series of brainstorming sessions aimed at enhancing product offerings through innovative uses of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creativity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define and prioritize features for AI products, ensuring that the solutions not only met user expectations but also adhered to rigorous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strategic initiatives to leverage emerging technologies for enhancing service delivery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across various platforms from initial concepts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design intuitive interfaces by applying modern design principles and ensuring cross-browser compatibility, which improved user experience and encapsulated business requirements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APIs for both internal and external services using industry-standard practices, facilitating smooth data transfer and integration between platforms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version control and CI/CD pipelines, which streamlined the software delivery process, enabling frequent iterations and quick deployments that met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authentication mechanisms within applications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protocols, ensuring data protection and user privacy across all systems developed during tenure with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reliability of application infrastructure and resulting in reduced downtime and improved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best practices within the engineering team, leading to better code quality and fostered a culture of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gather insights for improving application features, directly influencing product direction and alignment with user needs in a rapidly changing business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writing complex queries for data manipulation and analysis that informed strategic business decisions and drove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through comprehensive test coverage that drastically reduced bugs and increased product stability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that improved overall application performance and end-user interactions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monolithic applications to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agility and application scalability through effective implementation of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