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over 11 years of experience in developing secure, scalable web and mobile applications. Proven expertise in cloud security, DevSecOps practices, and federal compliance requirements, ensuring robust and compliant solutions for government contracts. Adept at collaborating with cross-functional teams to implement best practices in system architecture and security. Possesses deep knowledge of AWS services, DevSecOps toolchains, and modern software development methodologies, dedicated to delivering high-impact solutions in a public benefit context.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xml:space="preserve"> AWS, FISMA, NIST SP 800-53, NIST 800-171, FedRAMP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DevSecOps Tools:</w:t>
      </w:r>
      <w:r w:rsidRPr="00745DD3">
        <w:rPr>
          <w:rFonts w:ascii="Roboto Light" w:eastAsia="Roboto Light" w:hAnsi="Roboto Light" w:cs="Roboto Light"/>
          <w:color w:val="404040" w:themeColor="text1" w:themeTint="BF"/>
          <w:sz w:val="20"/>
          <w:szCs w:val="20"/>
        </w:rPr>
        <w:t xml:space="preserve"> Terraform, Jenkins, GitHub, SonarQube, Snyk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Go,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Frameworks:</w:t>
      </w:r>
      <w:r w:rsidRPr="00745DD3">
        <w:rPr>
          <w:rFonts w:ascii="Roboto Light" w:eastAsia="Roboto Light" w:hAnsi="Roboto Light" w:cs="Roboto Light"/>
          <w:color w:val="404040" w:themeColor="text1" w:themeTint="BF"/>
          <w:sz w:val="20"/>
          <w:szCs w:val="20"/>
        </w:rPr>
        <w:t xml:space="preserve"> IAM, KMS, CloudTrail, Security Hub, GuardDuty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Documentation:</w:t>
      </w:r>
      <w:r w:rsidRPr="00745DD3">
        <w:rPr>
          <w:rFonts w:ascii="Roboto Light" w:eastAsia="Roboto Light" w:hAnsi="Roboto Light" w:cs="Roboto Light"/>
          <w:color w:val="404040" w:themeColor="text1" w:themeTint="BF"/>
          <w:sz w:val="20"/>
          <w:szCs w:val="20"/>
        </w:rPr>
        <w:t xml:space="preserve"> System Security Plans, Plans of Action and Milestones, Security Assessment Reports, Continuous Monitoring, Authority to Operate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comprehensive </w:t>
      </w:r>
      <w:r w:rsidRPr="00745DD3">
        <w:rPr>
          <w:rFonts w:ascii="Roboto Light" w:eastAsia="Roboto Light" w:hAnsi="Roboto Light" w:cs="Roboto Light"/>
          <w:b/>
          <w:bCs/>
          <w:color w:val="404040" w:themeColor="text1" w:themeTint="BF"/>
          <w:sz w:val="20"/>
          <w:szCs w:val="20"/>
        </w:rPr>
        <w:t xml:space="preserve">security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federal projects, ensuring compliance with </w:t>
      </w:r>
      <w:r w:rsidRPr="00745DD3">
        <w:rPr>
          <w:rFonts w:ascii="Roboto Light" w:eastAsia="Roboto Light" w:hAnsi="Roboto Light" w:cs="Roboto Light"/>
          <w:b/>
          <w:bCs/>
          <w:color w:val="404040" w:themeColor="text1" w:themeTint="BF"/>
          <w:sz w:val="20"/>
          <w:szCs w:val="20"/>
        </w:rPr>
        <w:t xml:space="preserve">FISMA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while fostering a culture of </w:t>
      </w:r>
      <w:r w:rsidRPr="00745DD3">
        <w:rPr>
          <w:rFonts w:ascii="Roboto Light" w:eastAsia="Roboto Light" w:hAnsi="Roboto Light" w:cs="Roboto Light"/>
          <w:b/>
          <w:bCs/>
          <w:color w:val="404040" w:themeColor="text1" w:themeTint="BF"/>
          <w:sz w:val="20"/>
          <w:szCs w:val="20"/>
        </w:rPr>
        <w:t xml:space="preserve">security-first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thinking among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the development and execution of </w:t>
      </w:r>
      <w:r w:rsidRPr="00745DD3">
        <w:rPr>
          <w:rFonts w:ascii="Roboto Light" w:eastAsia="Roboto Light" w:hAnsi="Roboto Light" w:cs="Roboto Light"/>
          <w:b/>
          <w:bCs/>
          <w:color w:val="404040" w:themeColor="text1" w:themeTint="BF"/>
          <w:sz w:val="20"/>
          <w:szCs w:val="20"/>
        </w:rPr>
        <w:t xml:space="preserve">incident response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organization’s ability to manage security incidents effectively under government contract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w:t>
      </w:r>
      <w:r w:rsidRPr="00745DD3">
        <w:rPr>
          <w:rFonts w:ascii="Roboto Light" w:eastAsia="Roboto Light" w:hAnsi="Roboto Light" w:cs="Roboto Light"/>
          <w:b/>
          <w:bCs/>
          <w:color w:val="404040" w:themeColor="text1" w:themeTint="BF"/>
          <w:sz w:val="20"/>
          <w:szCs w:val="20"/>
        </w:rPr>
        <w:t xml:space="preserve">ATO process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multiple projects, developing critical documentation like </w:t>
      </w:r>
      <w:r w:rsidRPr="00745DD3">
        <w:rPr>
          <w:rFonts w:ascii="Roboto Light" w:eastAsia="Roboto Light" w:hAnsi="Roboto Light" w:cs="Roboto Light"/>
          <w:b/>
          <w:bCs/>
          <w:color w:val="404040" w:themeColor="text1" w:themeTint="BF"/>
          <w:sz w:val="20"/>
          <w:szCs w:val="20"/>
        </w:rPr>
        <w:t xml:space="preserve">SSPs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POA&amp;Ms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coordinating with internal stakeholders and compliance teams to ensure regulatory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integrated </w:t>
      </w:r>
      <w:r w:rsidRPr="00745DD3">
        <w:rPr>
          <w:rFonts w:ascii="Roboto Light" w:eastAsia="Roboto Light" w:hAnsi="Roboto Light" w:cs="Roboto Light"/>
          <w:b/>
          <w:bCs/>
          <w:color w:val="404040" w:themeColor="text1" w:themeTint="BF"/>
          <w:sz w:val="20"/>
          <w:szCs w:val="20"/>
        </w:rPr>
        <w:t xml:space="preserve">security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WAF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the security posture of cloud-based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security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audits to monitor compliance, leading to improved implementation of </w:t>
      </w: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protected sensitive government data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software development lifecycle, employing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security testing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encouraged knowledge sharing to cultivate a supportive and knowledgeable team environment focused on secure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federal agency stakeholders to discuss security strategies, effectively communicating complex </w:t>
      </w:r>
      <w:r w:rsidRPr="00745DD3">
        <w:rPr>
          <w:rFonts w:ascii="Roboto Light" w:eastAsia="Roboto Light" w:hAnsi="Roboto Light" w:cs="Roboto Light"/>
          <w:b/>
          <w:bCs/>
          <w:color w:val="404040" w:themeColor="text1" w:themeTint="BF"/>
          <w:sz w:val="20"/>
          <w:szCs w:val="20"/>
        </w:rPr>
        <w:t xml:space="preserve">technical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both technical and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new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features, continuously upgrading the organization’s cloud infrastructure to adapt to emerging security challenges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w:t>
      </w:r>
      <w:r w:rsidRPr="00745DD3">
        <w:rPr>
          <w:rFonts w:ascii="Roboto Light" w:eastAsia="Roboto Light" w:hAnsi="Roboto Light" w:cs="Roboto Light"/>
          <w:b/>
          <w:bCs/>
          <w:color w:val="404040" w:themeColor="text1" w:themeTint="BF"/>
          <w:sz w:val="20"/>
          <w:szCs w:val="20"/>
        </w:rPr>
        <w:t xml:space="preserve">security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the system authorization process, enhancing the transparency and usability of compliance materials for agency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focused on </w:t>
      </w:r>
      <w:r w:rsidRPr="00745DD3">
        <w:rPr>
          <w:rFonts w:ascii="Roboto Light" w:eastAsia="Roboto Light" w:hAnsi="Roboto Light" w:cs="Roboto Light"/>
          <w:b/>
          <w:bCs/>
          <w:color w:val="404040" w:themeColor="text1" w:themeTint="BF"/>
          <w:sz w:val="20"/>
          <w:szCs w:val="20"/>
        </w:rPr>
        <w:t xml:space="preserve">secure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further embedding a security mindset throughout the engineering organization while reinforcing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refined existing </w:t>
      </w:r>
      <w:r w:rsidRPr="00745DD3">
        <w:rPr>
          <w:rFonts w:ascii="Roboto Light" w:eastAsia="Roboto Light" w:hAnsi="Roboto Light" w:cs="Roboto Light"/>
          <w:b/>
          <w:bCs/>
          <w:color w:val="404040" w:themeColor="text1" w:themeTint="BF"/>
          <w:sz w:val="20"/>
          <w:szCs w:val="20"/>
        </w:rPr>
        <w:t xml:space="preserve">security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procedures, identifying areas for improvement in alignment with evolving federal compliance requirements and enhancing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continuous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ensure ongoing compliance with internal policies, providing timely updates to leadership on compliance status and risk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business development efforts by advising on </w:t>
      </w:r>
      <w:r w:rsidRPr="00745DD3">
        <w:rPr>
          <w:rFonts w:ascii="Roboto Light" w:eastAsia="Roboto Light" w:hAnsi="Roboto Light" w:cs="Roboto Light"/>
          <w:b/>
          <w:bCs/>
          <w:color w:val="404040" w:themeColor="text1" w:themeTint="BF"/>
          <w:sz w:val="20"/>
          <w:szCs w:val="20"/>
        </w:rPr>
        <w:t xml:space="preserve">security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proposals, integrating compliance considerations from the outset of new project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implementation of third-party security solutions within existing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improving overall security while not hindering operational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with a focus on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high-performance microservices that met strict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software development lifecycle of applications, applying modern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cross-team collaboration to enhance project outcomes and align with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and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development productivity and ensuring the rapid deployment of secure code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security training programs for engineering teams, enhancing their ability to build resilient and secure software that effectively mitigated identified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audit and remediation of </w:t>
      </w:r>
      <w:r w:rsidRPr="00745DD3">
        <w:rPr>
          <w:rFonts w:ascii="Roboto Light" w:eastAsia="Roboto Light" w:hAnsi="Roboto Light" w:cs="Roboto Light"/>
          <w:b/>
          <w:bCs/>
          <w:color w:val="404040" w:themeColor="text1" w:themeTint="BF"/>
          <w:sz w:val="20"/>
          <w:szCs w:val="20"/>
        </w:rPr>
        <w:t xml:space="preserve">security vulnerabilities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applications, implementing recommendations based on findings while utilizing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security adherence.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compliance teams to ensure adherence to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facilitating updates and enhancements to existing applications to align with federal security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and implemented </w:t>
      </w:r>
      <w:r w:rsidRPr="00745DD3">
        <w:rPr>
          <w:rFonts w:ascii="Roboto Light" w:eastAsia="Roboto Light" w:hAnsi="Roboto Light" w:cs="Roboto Light"/>
          <w:b/>
          <w:bCs/>
          <w:color w:val="404040" w:themeColor="text1" w:themeTint="BF"/>
          <w:sz w:val="20"/>
          <w:szCs w:val="20"/>
        </w:rPr>
        <w:t xml:space="preserve">secure coding guidelines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engineering teams, fostering a culture of security awareness while reducing the prevalence of vulnerabilities in production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innovation meetings with stakeholders to introduce new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could improve application performance and security, significantly aligning team objectives with business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system integration efforts for external APIs, ensuring security measures were in place to protect data during transmission while leveraging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Security 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to assess user behaviors in applications, identifying potential security risks and adapting measures to address these effectively within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auditors and federal agents to align on security practices, reinforcing a solid relationship that aided in achieving compliance during audits and assessments.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engineering best practices, fostering a knowledgeable team environment focused on the delivery of high-quality software solutions that prioritize security and functionality.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