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Senior Technical ACO Analyst with over 11 years of experience in software development focused on web and mobile applications. Proven expertise in Value-Based Care (VBC) analytics, data-driven decision-making, and collaboration with multidisciplinary teams to enhance healthcare outcomes. Passionate about leveraging advanced technologies and analytical frameworks to support Accountable Care Organizations (ACOs) in achieving their performance goals. Strong background in healthcare analytics with a focus on actionable insights derived from complex datasets.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SAS, JavaScript, HTML/CSS,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Tools:</w:t>
      </w:r>
      <w:r w:rsidRPr="00745DD3">
        <w:rPr>
          <w:rFonts w:ascii="Roboto Light" w:eastAsia="Roboto Light" w:hAnsi="Roboto Light" w:cs="Roboto Light"/>
          <w:color w:val="404040" w:themeColor="text1" w:themeTint="BF"/>
          <w:sz w:val="20"/>
          <w:szCs w:val="20"/>
        </w:rPr>
        <w:t xml:space="preserve"> SAS EG, SAS Visual Analytics, Tableau, Power BI, Snowflake, Excel, Google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Healthcare Technologies:</w:t>
      </w:r>
      <w:r w:rsidRPr="00745DD3">
        <w:rPr>
          <w:rFonts w:ascii="Roboto Light" w:eastAsia="Roboto Light" w:hAnsi="Roboto Light" w:cs="Roboto Light"/>
          <w:color w:val="404040" w:themeColor="text1" w:themeTint="BF"/>
          <w:sz w:val="20"/>
          <w:szCs w:val="20"/>
        </w:rPr>
        <w:t xml:space="preserve"> EMR, EHR, CPT, HCPCS, POS, Claims Data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Methods:</w:t>
      </w:r>
      <w:r w:rsidRPr="00745DD3">
        <w:rPr>
          <w:rFonts w:ascii="Roboto Light" w:eastAsia="Roboto Light" w:hAnsi="Roboto Light" w:cs="Roboto Light"/>
          <w:color w:val="404040" w:themeColor="text1" w:themeTint="BF"/>
          <w:sz w:val="20"/>
          <w:szCs w:val="20"/>
        </w:rPr>
        <w:t xml:space="preserve"> Machine Learning, Data Mining, Predictive Analytics, Clinical Metrics, Risk Adjustment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Communication:</w:t>
      </w:r>
      <w:r w:rsidRPr="00745DD3">
        <w:rPr>
          <w:rFonts w:ascii="Roboto Light" w:eastAsia="Roboto Light" w:hAnsi="Roboto Light" w:cs="Roboto Light"/>
          <w:color w:val="404040" w:themeColor="text1" w:themeTint="BF"/>
          <w:sz w:val="20"/>
          <w:szCs w:val="20"/>
        </w:rPr>
        <w:t xml:space="preserve"> Agile Methodologies, Scrum, Stakeholder Engagement, Business Intelligence, Project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w:t>
      </w:r>
      <w:r w:rsidRPr="00745DD3">
        <w:rPr>
          <w:rFonts w:ascii="Roboto Light" w:eastAsia="Roboto Light" w:hAnsi="Roboto Light" w:cs="Roboto Light"/>
          <w:b/>
          <w:bCs/>
          <w:color w:val="404040" w:themeColor="text1" w:themeTint="BF"/>
          <w:sz w:val="20"/>
          <w:szCs w:val="20"/>
        </w:rPr>
        <w:t xml:space="preserve">VBC Analytics Subject Matter Expert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leading the analytics efforts for multiple </w:t>
      </w:r>
      <w:r w:rsidRPr="00745DD3">
        <w:rPr>
          <w:rFonts w:ascii="Roboto Light" w:eastAsia="Roboto Light" w:hAnsi="Roboto Light" w:cs="Roboto Light"/>
          <w:b/>
          <w:bCs/>
          <w:color w:val="404040" w:themeColor="text1" w:themeTint="BF"/>
          <w:sz w:val="20"/>
          <w:szCs w:val="20"/>
        </w:rPr>
        <w:t xml:space="preserve">Accountable Care Organizations (ACOs)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data-driven approach to clinical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innovative </w:t>
      </w:r>
      <w:r w:rsidRPr="00745DD3">
        <w:rPr>
          <w:rFonts w:ascii="Roboto Light" w:eastAsia="Roboto Light" w:hAnsi="Roboto Light" w:cs="Roboto Light"/>
          <w:b/>
          <w:bCs/>
          <w:color w:val="404040" w:themeColor="text1" w:themeTint="BF"/>
          <w:sz w:val="20"/>
          <w:szCs w:val="20"/>
        </w:rPr>
        <w:t xml:space="preserve">analytics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guided </w:t>
      </w:r>
      <w:r w:rsidRPr="00745DD3">
        <w:rPr>
          <w:rFonts w:ascii="Roboto Light" w:eastAsia="Roboto Light" w:hAnsi="Roboto Light" w:cs="Roboto Light"/>
          <w:b/>
          <w:bCs/>
          <w:color w:val="404040" w:themeColor="text1" w:themeTint="BF"/>
          <w:sz w:val="20"/>
          <w:szCs w:val="20"/>
        </w:rPr>
        <w:t xml:space="preserve">Privia ACOs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achieving significant improvements in </w:t>
      </w:r>
      <w:r w:rsidRPr="00745DD3">
        <w:rPr>
          <w:rFonts w:ascii="Roboto Light" w:eastAsia="Roboto Light" w:hAnsi="Roboto Light" w:cs="Roboto Light"/>
          <w:b/>
          <w:bCs/>
          <w:color w:val="404040" w:themeColor="text1" w:themeTint="BF"/>
          <w:sz w:val="20"/>
          <w:szCs w:val="20"/>
        </w:rPr>
        <w:t xml:space="preserve">Medicare Shared Savings Program (MSSP)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performance tracking based on established </w:t>
      </w:r>
      <w:r w:rsidRPr="00745DD3">
        <w:rPr>
          <w:rFonts w:ascii="Roboto Light" w:eastAsia="Roboto Light" w:hAnsi="Roboto Light" w:cs="Roboto Light"/>
          <w:b/>
          <w:bCs/>
          <w:color w:val="404040" w:themeColor="text1" w:themeTint="BF"/>
          <w:sz w:val="20"/>
          <w:szCs w:val="20"/>
        </w:rPr>
        <w:t xml:space="preserve">Key Performance Indicators (KPIs)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communicating actionable insights that led to measurable improvements in </w:t>
      </w:r>
      <w:r w:rsidRPr="00745DD3">
        <w:rPr>
          <w:rFonts w:ascii="Roboto Light" w:eastAsia="Roboto Light" w:hAnsi="Roboto Light" w:cs="Roboto Light"/>
          <w:b/>
          <w:bCs/>
          <w:color w:val="404040" w:themeColor="text1" w:themeTint="BF"/>
          <w:sz w:val="20"/>
          <w:szCs w:val="20"/>
        </w:rPr>
        <w:t xml:space="preserve">healthcare outcomes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w:t>
      </w:r>
      <w:r w:rsidRPr="00745DD3">
        <w:rPr>
          <w:rFonts w:ascii="Roboto Light" w:eastAsia="Roboto Light" w:hAnsi="Roboto Light" w:cs="Roboto Light"/>
          <w:b/>
          <w:bCs/>
          <w:color w:val="404040" w:themeColor="text1" w:themeTint="BF"/>
          <w:sz w:val="20"/>
          <w:szCs w:val="20"/>
        </w:rPr>
        <w:t xml:space="preserve">interdisciplinary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cultivate a deep understanding of business problems, utilizing </w:t>
      </w:r>
      <w:r w:rsidRPr="00745DD3">
        <w:rPr>
          <w:rFonts w:ascii="Roboto Light" w:eastAsia="Roboto Light" w:hAnsi="Roboto Light" w:cs="Roboto Light"/>
          <w:b/>
          <w:bCs/>
          <w:color w:val="404040" w:themeColor="text1" w:themeTint="BF"/>
          <w:sz w:val="20"/>
          <w:szCs w:val="20"/>
        </w:rPr>
        <w:t xml:space="preserve">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analytics to identify opportunities for improvement and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assessed complex business challenges in the healthcare domain and leveraged rich data insights to provide strategic recommendations that enhanced the effectiveness of ACO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analysts and leadership to enhance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efficiency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VBC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in data management and reporting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ad-hoc analyses to address pressing business questions, enabling informed decision-making through robust data interpretation and displaying a proactive problem-solving attitude.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programming languages and tools, such as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predictive models that supported ACO leaders in making informed strategic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Nurtured relationships with critical stakeholders by effectively communicating complex concepts and observations derived from performance data and regional healthcare trends to enhance overall engagement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knowledge of evolving regulations in the MSSP program, ensuring compliance and strategic alignment in all initiatives undertaken by the analytics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sessions and workshops for peers and stakeholders on best practices in VBC analytics, thereby promoting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fine-tuned </w:t>
      </w:r>
      <w:r w:rsidRPr="00745DD3">
        <w:rPr>
          <w:rFonts w:ascii="Roboto Light" w:eastAsia="Roboto Light" w:hAnsi="Roboto Light" w:cs="Roboto Light"/>
          <w:b/>
          <w:bCs/>
          <w:color w:val="404040" w:themeColor="text1" w:themeTint="BF"/>
          <w:sz w:val="20"/>
          <w:szCs w:val="20"/>
        </w:rPr>
        <w:t xml:space="preserve">data visualization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complex data in an approachable and understandable manner, driving insights that facilitated decision-making processes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diligently within a matrix environment to build strong partnerships and foster </w:t>
      </w:r>
      <w:r w:rsidRPr="00745DD3">
        <w:rPr>
          <w:rFonts w:ascii="Roboto Light" w:eastAsia="Roboto Light" w:hAnsi="Roboto Light" w:cs="Roboto Light"/>
          <w:b/>
          <w:bCs/>
          <w:color w:val="404040" w:themeColor="text1" w:themeTint="BF"/>
          <w:sz w:val="20"/>
          <w:szCs w:val="20"/>
        </w:rPr>
        <w:t xml:space="preserve">win-win relationships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among various departments and divisions while supporting overall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flexible strategies to navigate changing priorities and emerging challenges within healthcare analytics, demonstrating strong adaptability and commitment to achieving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Located and evaluated external sources of data to enhance our ACOs’ analytical capabilities, consistently seeking innovative methods to optimize existing systems and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software development and engineering practices focusing on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combination with powerful frameworks to streamline </w:t>
      </w: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solutions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analyze large datasets, ensuring high performance and data integrity while supporting decision-making processes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a collaborative team of engineers and data analysts to produce high-quality software solutions that met both internal and external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define technical requirements and translate them into actionable engineering tasks aimed at improving healthcare services through </w:t>
      </w:r>
      <w:r w:rsidRPr="00745DD3">
        <w:rPr>
          <w:rFonts w:ascii="Roboto Light" w:eastAsia="Roboto Light" w:hAnsi="Roboto Light" w:cs="Roboto Light"/>
          <w:b/>
          <w:bCs/>
          <w:color w:val="404040" w:themeColor="text1" w:themeTint="BF"/>
          <w:sz w:val="20"/>
          <w:szCs w:val="20"/>
        </w:rPr>
        <w:t xml:space="preserve">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multiple data analytics tools such as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visually compelling and interactive dashboards that provided stakeholders with quick access to critical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APIs to facilitate seamless data integration between various healthcare systems, improving data accessibility and user experience across platforms while adhering to the latest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to effectively communicate software solutions, architecture, and data integration methodologies to team members, thereby contributing to knowledge sharing and team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to identify and resolve software bugs, optimizing functionality and enhancing the end-user experience based on feedback and testing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team meetings regularly, advocating for best practices in software development, fostering a culture of innovation and efficiency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ensure alignment on the product vision, leveraging feedback and user design discussions for continuous product improvement and scalability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 strategies and performed quality assurance checks to ensure high levels of software quality, reliability, and compliance with regulatory standards pertinent to the healthcare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a corporate culture that valued collaboration and transparency, facilitating open discussions around code and project statuses for ongoing improvement and development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