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building scalable, distributed systems for web and mobile applications. Proficient in backend architecture and committed to delivering high-performance, maintainable solutions that enhance customer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Redis, MySQL, PostgreSQL, Cassandra,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 gRPC, GraphQL, Swagger, OpenAPI, Thrift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EKS, CI/CD,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w:t>
      </w:r>
      <w:r w:rsidRPr="00745DD3">
        <w:rPr>
          <w:rFonts w:ascii="Roboto Light" w:eastAsia="Roboto Light" w:hAnsi="Roboto Light" w:cs="Roboto Light"/>
          <w:color w:val="404040" w:themeColor="text1" w:themeTint="BF"/>
          <w:sz w:val="20"/>
          <w:szCs w:val="20"/>
        </w:rPr>
        <w:t xml:space="preserve"> OpenAI, AWS Bedrock, TensorFlow, PyTorch, Hugging Face, Scikit-Learn,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handle high-traffic user environments while maintaining system integrity and reliability, significantly enhancing application performance and system redundancy through intelligent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customer feedback and interpret requirements, resulting in the development of features that directly addressed user needs and improved overall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logic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systems are built to optimize for scalability, maintainability, and performance across diverse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peer programming sessions, fostering a culture of quality code while sharing knowledge around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existing platforms, leading to substantial improvements in automated workflow capabilities and enhancing customer trust in our incident response processes using state-of-the-art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services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concentrating on orchestration and service mesh methodologies with tools like </w:t>
      </w:r>
      <w:r w:rsidRPr="00745DD3">
        <w:rPr>
          <w:rFonts w:ascii="Roboto Light" w:eastAsia="Roboto Light" w:hAnsi="Roboto Light" w:cs="Roboto Light"/>
          <w:b/>
          <w:bCs/>
          <w:color w:val="404040" w:themeColor="text1" w:themeTint="BF"/>
          <w:sz w:val="20"/>
          <w:szCs w:val="20"/>
        </w:rPr>
        <w:t xml:space="preserve">Linkerd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service-to-service communication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to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reduced the likelihood of misconfiguration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of key transaction paths prevalent in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key engineering decisions and system architectures, enabling onboarding and knowledge retention within the technology team, while automating tasks to minimize human intervention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practices to ensure fast, automated, and reliable delivery of applications, enhancing efficiency in a typical software development lifecycle and operation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resource optimization using application profiling tools to identify bottlenecks, leading to significant improvements in response times and throughput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through technical challenges and career development, enabling a stronger engineering culture through knowledge sharing and collaborative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the cyber defense space and evaluated their integration into current frameworks, ensuring that solutions remain ahead of industry standards and resilient against future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during incident response scenarios, translating their needs into actionable engineering tasks, thus ensuring the product continually adapts to meet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robust logging and monitoring practices, resulting in the implementation of effective alerting mechanisms that reduced incident resolution times.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distributed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enterprise-grade applications, focusing on resilience, availability, and performance as primary design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front-end applications while ensuring data security and application authenticity through robust authentication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optimal data modeling to support scaling for an expanding user base while maintaining efficient data access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 meetings, fostering open communication about ongoing tasks and feedback on completed ones, enhancing teamwork and project alignment amid dynamic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cross-team initiatives aiming to improve workflows by integrating DevOps principles, notably through the deployment of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refining </w:t>
      </w:r>
      <w:r w:rsidRPr="00745DD3">
        <w:rPr>
          <w:rFonts w:ascii="Roboto Light" w:eastAsia="Roboto Light" w:hAnsi="Roboto Light" w:cs="Roboto Light"/>
          <w:b/>
          <w:bCs/>
          <w:color w:val="404040" w:themeColor="text1" w:themeTint="BF"/>
          <w:sz w:val="20"/>
          <w:szCs w:val="20"/>
        </w:rPr>
        <w:t xml:space="preserve">database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reduce latency, contributing to overall system responsiveness critical for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transfer sessions where team members could discuss new technologies adopted, tools used across various projects, and share insights on industry trends, enabling a culture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configurations adhered to best practices in security, resource management, and cost optimization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produced comprehensive architecture blueprints that outlined critical system components, facilitating team understanding of complex integrations for both current projects and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to guide the development of features and enhancements, ensuring alignment with the needs and expectations of end-users to maximize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learning environments to stay updated on industry trends in software development particularly around security practices in line with evolving cyber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on-call rotations, responding to incidents with an agile mindset, ensuring minimal disruption for users while maintaining healthy service levels during peak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