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passionate Senior Software Engineer with over 11 years of extensive experience in software development, specializing in backend systems, API-driven services, and developer experiences in the evolving Bitcoin ecosystem. Proven expertise in designing, building, and optimizing scalable solutions with a modern tech stack, fostering collaboration, adaptability, and proactive problem-solving within distributed teams to drive innovation and support the Stacks platform.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Rust, Python, Go,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React, GraphQL, gRPC, Koa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Prometheus, Grafana, k6,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ArgoCD, Ansible, Cloudflare, DNS/DDoS, WAF,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including product managers to define project requirements and improve developer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backend services and APIs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Hiro's developer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reliability, and seamless integration with core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Chainhook-2.0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data pipelines and indexing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efficiency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Hiro’s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code reviews,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stability of services, while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contributions to enhance our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automation of services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promoting continuous integration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ambiguity and independently made decisions to enhance application scalability in a fast-paced environment, adapting to business needs while championing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creating a culture of learning by sharing knowledge about backend technologies and encouraging contributions to the open-source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uptime and rapid identification of performance bottlenecks, which contributed to improved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modern cloud infrastructure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and deploy containerized applications,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mindset in service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existing processes, database queries, and caching mechanisms,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short-term storage solutions and reduced system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microservices architecture, successfully decoupling existing monolithic applications and enabling rapid iteration on new features under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in a multi-tier architecture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substantially to the overall performance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performance monitoring and debugging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considerable reduction in resolution times for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development teams to define API endpoints and optimize data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involved in the Agile development process, participating in daily stand-ups and sprint planning, ensuring productive and efficient team communication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regarding application architecture and system design, focusing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best practices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executed unit and integration tests extensively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high-quality code was delivered on time and within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promote high coding standards and shared ownership of the codebase across the development team, enhancing teamwork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lowering failure rates of new releases by automating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