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web and mobile applications. Proven expertise in driving data privacy practices, governance, and compliance initiatives using advanced frameworks and technologies. Dedicated to enhancing security posture through innovative data protection strategies and effective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Go,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Express.js, Django, Flask, Spring,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 Tools:</w:t>
      </w:r>
      <w:r w:rsidRPr="00745DD3">
        <w:rPr>
          <w:rFonts w:ascii="Roboto Light" w:eastAsia="Roboto Light" w:hAnsi="Roboto Light" w:cs="Roboto Light"/>
          <w:color w:val="404040" w:themeColor="text1" w:themeTint="BF"/>
          <w:sz w:val="20"/>
          <w:szCs w:val="20"/>
        </w:rPr>
        <w:t xml:space="preserve"> ISO 27001, SOC 2, NIST, HITRUST, GDPR, CCPA, AWS Security Hub, Azure Security Center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Terraform, Ansible, CircleCI,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Privacy Tools:</w:t>
      </w:r>
      <w:r w:rsidRPr="00745DD3">
        <w:rPr>
          <w:rFonts w:ascii="Roboto Light" w:eastAsia="Roboto Light" w:hAnsi="Roboto Light" w:cs="Roboto Light"/>
          <w:color w:val="404040" w:themeColor="text1" w:themeTint="BF"/>
          <w:sz w:val="20"/>
          <w:szCs w:val="20"/>
        </w:rPr>
        <w:t xml:space="preserve"> OneTrust, TrustArc, BigID, Vanta, DataGrail, IBM OpenPages, Symantec DLP, McAfee Total Protection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enterprise-wide governance, risk, and compliance (GRC) programs at ivision, developing effective frameworks for data protection and privacy management initiatives that aligned with ISO 27001 and NIST standards, fostering trust across technical and operational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security policies focused on cloud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thereby enhancing organizational readiness for emerging compliance regulations in the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comprehensive information security strategy focusing on vulnerability management and incident response practices, adopting cutting-edge consultation tools such as </w:t>
      </w:r>
      <w:r w:rsidRPr="00745DD3">
        <w:rPr>
          <w:rFonts w:ascii="Roboto Light" w:eastAsia="Roboto Light" w:hAnsi="Roboto Light" w:cs="Roboto Light"/>
          <w:b/>
          <w:bCs/>
          <w:color w:val="404040" w:themeColor="text1" w:themeTint="BF"/>
          <w:sz w:val="20"/>
          <w:szCs w:val="20"/>
        </w:rPr>
        <w:t xml:space="preserve">Rapid7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enhancement in data risk mitigation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risk assessment processes involving third-party vendors, creating structured audits leveraging </w:t>
      </w:r>
      <w:r w:rsidRPr="00745DD3">
        <w:rPr>
          <w:rFonts w:ascii="Roboto Light" w:eastAsia="Roboto Light" w:hAnsi="Roboto Light" w:cs="Roboto Light"/>
          <w:b/>
          <w:bCs/>
          <w:color w:val="404040" w:themeColor="text1" w:themeTint="BF"/>
          <w:sz w:val="20"/>
          <w:szCs w:val="20"/>
        </w:rPr>
        <w:t xml:space="preserve">CyberGRX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SecurityScorecard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influencing stakeholder confidence through robust risk identification and management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global data protection programs ensuring compliant operational practices with GDPR and HIPAA, providing training and resources around these regulations, thus impacting company culture significantly toward data privacy awareness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loss prevention strategies across multi-cloud applications by employing leading DLP solutions like </w:t>
      </w:r>
      <w:r w:rsidRPr="00745DD3">
        <w:rPr>
          <w:rFonts w:ascii="Roboto Light" w:eastAsia="Roboto Light" w:hAnsi="Roboto Light" w:cs="Roboto Light"/>
          <w:b/>
          <w:bCs/>
          <w:color w:val="404040" w:themeColor="text1" w:themeTint="BF"/>
          <w:sz w:val="20"/>
          <w:szCs w:val="20"/>
        </w:rPr>
        <w:t xml:space="preserve">Symantec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McAfee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safeguarding sensitive information while maintaining operational efficiency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in managing data inventories through advanced data governance tools such as </w:t>
      </w:r>
      <w:r w:rsidRPr="00745DD3">
        <w:rPr>
          <w:rFonts w:ascii="Roboto Light" w:eastAsia="Roboto Light" w:hAnsi="Roboto Light" w:cs="Roboto Light"/>
          <w:b/>
          <w:bCs/>
          <w:color w:val="404040" w:themeColor="text1" w:themeTint="BF"/>
          <w:sz w:val="20"/>
          <w:szCs w:val="20"/>
        </w:rPr>
        <w:t xml:space="preserve">Collibra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Ataccama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workflows while achieving consistent oversight of data compliance statuses.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on healthcare-related data compliance frameworks (HIPAA, HITECH), leading to improved practices and fostering enhanced communication with regulatory bodies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trade compliance initiatives, maintaining regulatory adherence through collaboration with legal teams employing resourceful tools for export control and sanctions screening that minimized organizational liabilities.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training programs to ensure team alignment on security standards and best practices across diverse technologies, reflecting adaptability to shift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Unified various teams toward a common goal of improved data security, consistently facilitating workshops aimed at enhancing knowledge around emerging technological and compliance trends in the field of data risk.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insider threat monitoring initiatives leveraging </w:t>
      </w:r>
      <w:r w:rsidRPr="00745DD3">
        <w:rPr>
          <w:rFonts w:ascii="Roboto Light" w:eastAsia="Roboto Light" w:hAnsi="Roboto Light" w:cs="Roboto Light"/>
          <w:b/>
          <w:bCs/>
          <w:color w:val="404040" w:themeColor="text1" w:themeTint="BF"/>
          <w:sz w:val="20"/>
          <w:szCs w:val="20"/>
        </w:rPr>
        <w:t xml:space="preserve">Darktrace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Centrify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established an organizational culture rooted in proactive security measures across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privacy-by-design principles in new products, closely collaborating with product managers and developers to embed security measures directly into software development protocols for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reporting frameworks reflecting risk exposure and privacy compliance status for executive presentations, ensuring decisions reflect well-thought-out data integrity and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vendor risk assessments and managed compliance audits, using frameworks such as COBIT and ISO 31000 to design risk controls that confirmed alignment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cloud infrastructure security practices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frameworks such as </w:t>
      </w:r>
      <w:r w:rsidRPr="00745DD3">
        <w:rPr>
          <w:rFonts w:ascii="Roboto Light" w:eastAsia="Roboto Light" w:hAnsi="Roboto Light" w:cs="Roboto Light"/>
          <w:b/>
          <w:bCs/>
          <w:color w:val="404040" w:themeColor="text1" w:themeTint="BF"/>
          <w:sz w:val="20"/>
          <w:szCs w:val="20"/>
        </w:rPr>
        <w:t xml:space="preserve">Azure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federal security guidelines and best practices, enhancing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software security by integrating automated security testers into continuous integration pipelines,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secure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development teams to embed security functionalities into applications, promoting strong security architecture principles while effectively utilizing </w:t>
      </w:r>
      <w:r w:rsidRPr="00745DD3">
        <w:rPr>
          <w:rFonts w:ascii="Roboto Light" w:eastAsia="Roboto Light" w:hAnsi="Roboto Light" w:cs="Roboto Light"/>
          <w:b/>
          <w:bCs/>
          <w:color w:val="404040" w:themeColor="text1" w:themeTint="BF"/>
          <w:sz w:val="20"/>
          <w:szCs w:val="20"/>
        </w:rPr>
        <w:t xml:space="preserve">Microsoft 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IT risk management strategies that aligned with corporate policies leveraging tools such as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BambooHR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robust compliance frameworks across diverse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regulatory changes affecting privacy policies, leveraging in-depth knowledge of GDPR to guide teams in implementing privacy features across numerous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best practices for secure application development,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and respond efficiently to ever-changing security requirements, enhancing team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customers to understand their security requirements, integrating third-party applications while ensuring compliance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increasing customer satisfaction through direct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and ensured accuracy in production environments, utilizing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tracking of security compliance initiatives and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risk assessment workshops, employing methodologies such as FAIR to evaluate risks associated with products and services while ensuring adherence to prescribed compliance frameworks, enhancing overall service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remediation and response planning for identified vulnerabilities, engaging teams in cybersecurity drills to ensure preparedness in incident responses effectively across remote and hybrid working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research and deployment of new compliance tools, analyzing emerging software capabilities that align with privacy regulations, driving efficiency in operational processes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staff in security best practices, fostering a continuous learning environment around industry trends and compliance requirements, thereby improving overall team competency.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