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specializing in enterprise application integration, leading development teams and implementing scalable solutions. Proficient in MuleSoft, API management, and compliance frameworks, driving innovative strategies to optimize integration and data flows. Proven track record in building high-performance teams and aligning technology initiatives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Middleware:</w:t>
      </w:r>
      <w:r w:rsidRPr="00745DD3">
        <w:rPr>
          <w:rFonts w:ascii="Roboto Light" w:eastAsia="Roboto Light" w:hAnsi="Roboto Light" w:cs="Roboto Light"/>
          <w:color w:val="404040" w:themeColor="text1" w:themeTint="BF"/>
          <w:sz w:val="20"/>
          <w:szCs w:val="20"/>
        </w:rPr>
        <w:t xml:space="preserve"> MuleSoft, Apache Kafka, Informatica, Apache Camel, Apache NiFi, Oracle Integration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RESTful APIs, GraphQL, SOAP,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Cloud Foundry,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DevOps:</w:t>
      </w:r>
      <w:r w:rsidRPr="00745DD3">
        <w:rPr>
          <w:rFonts w:ascii="Roboto Light" w:eastAsia="Roboto Light" w:hAnsi="Roboto Light" w:cs="Roboto Light"/>
          <w:color w:val="404040" w:themeColor="text1" w:themeTint="BF"/>
          <w:sz w:val="20"/>
          <w:szCs w:val="20"/>
        </w:rPr>
        <w:t xml:space="preserve"> JUnit, Selenium, Postman, Docker,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Governance:</w:t>
      </w:r>
      <w:r w:rsidRPr="00745DD3">
        <w:rPr>
          <w:rFonts w:ascii="Roboto Light" w:eastAsia="Roboto Light" w:hAnsi="Roboto Light" w:cs="Roboto Light"/>
          <w:color w:val="404040" w:themeColor="text1" w:themeTint="BF"/>
          <w:sz w:val="20"/>
          <w:szCs w:val="20"/>
        </w:rPr>
        <w:t xml:space="preserve"> Data Modeling, BigQuery, Apache Spark, Data Lakes, ETL Processes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strategy utilizing </w:t>
      </w:r>
      <w:r w:rsidRPr="00745DD3">
        <w:rPr>
          <w:rFonts w:ascii="Roboto Light" w:eastAsia="Roboto Light" w:hAnsi="Roboto Light" w:cs="Roboto Light"/>
          <w:b/>
          <w:bCs/>
          <w:color w:val="404040" w:themeColor="text1" w:themeTint="BF"/>
          <w:sz w:val="20"/>
          <w:szCs w:val="20"/>
        </w:rPr>
        <w:t xml:space="preserve">MuleSoft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connectivity between business applications, ensuring data integrity and security throughout the integration lifecycle while implementing best practices and governance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modular, scalable integration solutions that aligned with enterprise data models and governance standards, reducing integration complexities and ensuring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modernization of legacy integrations by adopting an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transitioning to event-driven architectures to improve responsiveness and scalability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stringent data governance policies, facilitating audit readiness and collaboration with Legal and Compliance teams to ensure seamless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mentored a high-performing team of integration architects, engineers, and QA specialists, fostering a culture of innovation and accountability while enhancing technical capabilities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departments including </w:t>
      </w:r>
      <w:r w:rsidRPr="00745DD3">
        <w:rPr>
          <w:rFonts w:ascii="Roboto Light" w:eastAsia="Roboto Light" w:hAnsi="Roboto Light" w:cs="Roboto Light"/>
          <w:b/>
          <w:bCs/>
          <w:color w:val="404040" w:themeColor="text1" w:themeTint="BF"/>
          <w:sz w:val="20"/>
          <w:szCs w:val="20"/>
        </w:rPr>
        <w:t xml:space="preserve">Enterprise 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 and Security to ensure seamless data flow and efficient platform enablement.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bridge between technical teams and business stakeholders, accurately capturing integration needs and translating them into robust, scalable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complete integration delivery lifecycle, shaping the design and development processes to encompass comprehensive QA, deployment, and ongoing support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led integration and regression testing strategies featuring automated test suites to ensure systematic confirmation of integration functionality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proactive monitoring and incident management protocols to assure high availability and performance of integration services, aligning with business continuity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Driven business enablement through the adoption of clean, governed data practices, significantly improving analytics capabilities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structured change management initiatives to support adoption of new integration processes and technologies, improving stakeholder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direction for technical innovation initiatives, aligning integration architecture efforts with evolving business goals and mission-critical objectives at the enterprise level.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risk management protocols centered around </w:t>
      </w:r>
      <w:r w:rsidRPr="00745DD3">
        <w:rPr>
          <w:rFonts w:ascii="Roboto Light" w:eastAsia="Roboto Light" w:hAnsi="Roboto Light" w:cs="Roboto Light"/>
          <w:b/>
          <w:bCs/>
          <w:color w:val="404040" w:themeColor="text1" w:themeTint="BF"/>
          <w:sz w:val="20"/>
          <w:szCs w:val="20"/>
        </w:rPr>
        <w:t xml:space="preserve">compliance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safeguarding integration processes and ensuring alignment with industry standards and regulatory obligations.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across all integration points, promoting transparency and facilitating smoother onboarding for new team members.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software integration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solutions that enhanced system interconnectivity and improved data accuracy throughout various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integration projects, translating business needs into </w:t>
      </w:r>
      <w:r w:rsidRPr="00745DD3">
        <w:rPr>
          <w:rFonts w:ascii="Roboto Light" w:eastAsia="Roboto Light" w:hAnsi="Roboto Light" w:cs="Roboto Light"/>
          <w:b/>
          <w:bCs/>
          <w:color w:val="404040" w:themeColor="text1" w:themeTint="BF"/>
          <w:sz w:val="20"/>
          <w:szCs w:val="20"/>
        </w:rPr>
        <w:t xml:space="preserve">technical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alignment with best practices and regulatory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industry trends in application integration, driving the adoption of new methodologies and tools to streamline development efforts and enhance overall efficiency in integration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contributing knowledge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cloud-native design patterns to improve system architecture and reduce deployment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facilitate data exchange between disparate systems, ensuring reliability and performance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implement </w:t>
      </w:r>
      <w:r w:rsidRPr="00745DD3">
        <w:rPr>
          <w:rFonts w:ascii="Roboto Light" w:eastAsia="Roboto Light" w:hAnsi="Roboto Light" w:cs="Roboto Light"/>
          <w:b/>
          <w:bCs/>
          <w:color w:val="404040" w:themeColor="text1" w:themeTint="BF"/>
          <w:sz w:val="20"/>
          <w:szCs w:val="20"/>
        </w:rPr>
        <w:t xml:space="preserve">TLS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protocols in integration solutions, ensuring data protection and compliance with privacy regulations like GDPR and CCPA.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testing plans incorporating both automated and manual testing strategies, significantly improving code quality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external vendors during integration projects, negotiating interface agreements and ensuring that deliverables aligned with architectural standards and procedural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development and testing, contributing to a collaborative learning environment that emphasized continuous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techniques to analyze and improve the scalability and speed of integration processes, enhancing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promoting iterative development that enhanced project flexibility and responsiveness to changing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third-party services into organizational systems, ensuring compliance with regulatory standards and streamlining operational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