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Business Applications Senior Solution Architect with over 11 years in software development, focusing on web and mobile applications. Proven expertise in Microsoft Dynamics 365, Power Platform, and cloud solutions with a strong background in presales and solution architecture.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AWS, Google Cloud Platform, Dynamics 365, Power Apps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Angular, ASP.NET Core, Microsoft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Microsoft SQL Server, Azure Cosmos DB, Dataverse, Entity Framework,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Visual Code, Git, Docker,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Monitoring:</w:t>
      </w:r>
      <w:r w:rsidRPr="00745DD3">
        <w:rPr>
          <w:rFonts w:ascii="Roboto Light" w:eastAsia="Roboto Light" w:hAnsi="Roboto Light" w:cs="Roboto Light"/>
          <w:color w:val="404040" w:themeColor="text1" w:themeTint="BF"/>
          <w:sz w:val="20"/>
          <w:szCs w:val="20"/>
        </w:rPr>
        <w:t xml:space="preserve"> Azure DevOps, Terraform, Ansible, Kubernetes,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various </w:t>
      </w:r>
      <w:r w:rsidRPr="00745DD3">
        <w:rPr>
          <w:rFonts w:ascii="Roboto Light" w:eastAsia="Roboto Light" w:hAnsi="Roboto Light" w:cs="Roboto Light"/>
          <w:b/>
          <w:bCs/>
          <w:color w:val="404040" w:themeColor="text1" w:themeTint="BF"/>
          <w:sz w:val="20"/>
          <w:szCs w:val="20"/>
        </w:rPr>
        <w:t xml:space="preserve">Microsoft Dynamics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they effectively meet business transformation goals and integrate seamlessly with other enterprise applications to enhance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engagement scopes and high-level requirements, translating client needs into automated solutions powered by </w:t>
      </w:r>
      <w:r w:rsidRPr="00745DD3">
        <w:rPr>
          <w:rFonts w:ascii="Roboto Light" w:eastAsia="Roboto Light" w:hAnsi="Roboto Light" w:cs="Roboto Light"/>
          <w:b/>
          <w:bCs/>
          <w:color w:val="404040" w:themeColor="text1" w:themeTint="BF"/>
          <w:sz w:val="20"/>
          <w:szCs w:val="20"/>
        </w:rPr>
        <w:t xml:space="preserve">Microsoft Dynamics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maintaining clear documentation throughout.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shaped the pre-sales process by developing technical solution blueprints, participating in client meetings to gather requirements, and drafting proposals with well-structured cost estimation based on defined project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deep expertise in </w:t>
      </w:r>
      <w:r w:rsidRPr="00745DD3">
        <w:rPr>
          <w:rFonts w:ascii="Roboto Light" w:eastAsia="Roboto Light" w:hAnsi="Roboto Light" w:cs="Roboto Light"/>
          <w:b/>
          <w:bCs/>
          <w:color w:val="404040" w:themeColor="text1" w:themeTint="BF"/>
          <w:sz w:val="20"/>
          <w:szCs w:val="20"/>
        </w:rPr>
        <w:t xml:space="preserve">Dynamics 365 finance and supply 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customized solutions that address complex client scenarios, driving improvements that resulted in streamlined business operations and enhanced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project initiation meetings, ensuring alignment between client expectations and technical delivery, while implementing best practices for governance of data and processes within a Microsoft cloud framework.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Scoped projects, defined methodologies, and authored significant contract components, effectively communicating with both technical staff and C-suite executives to ensure comprehensive understanding and buy-in for major architectural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refinement of solution architecture templates and processes, enhancing the efficiency of the Solution Architecture team while promoting knowledge-sharing within Hitachi Solutions and partner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project outcomes in collaboration with delivery teams, capturing lessons learned and refining reference architectures to contribute to continuous improvement initiatives across Microsoft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architecture reviews during delivery stages, ensuring that logical solutions matched the conceptual designs, thereby facilitating successful project outcomes and proactive issue resolution throughout the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technology innovation discussions, working with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partner software organizations to stay at the forefront of changes in the rapidly evolving landscape of cloud solutions and digital transformation.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relationships with clients by fostering open lines of communication and providing timely updates, thereby enhancing client trust and satisfaction throughout the project delivery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to identify opportunities for standard work and automation that could accelerate solution discovery, enabling faster response times for clients and more efficient resource allocation for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for onboarding teams to ensure they fully understood the conceptual solution architecture, fostering a culture of collaboration and shared understanding among delivery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sales collateral including estimates and statements of work, ensuring clarity and comprehensiveness to support successful engagement with potential clients in the presales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internal engagement through active communication with Hitachi Solutions team members across various practice areas, promoting synergy and alignment toward shared business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applications utilizing </w:t>
      </w:r>
      <w:r w:rsidRPr="00745DD3">
        <w:rPr>
          <w:rFonts w:ascii="Roboto Light" w:eastAsia="Roboto Light" w:hAnsi="Roboto Light" w:cs="Roboto Light"/>
          <w:b/>
          <w:bCs/>
          <w:color w:val="404040" w:themeColor="text1" w:themeTint="BF"/>
          <w:sz w:val="20"/>
          <w:szCs w:val="20"/>
        </w:rPr>
        <w:t xml:space="preserve">Microsoft Dynamics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technologies, focusing on delivering enhanced business processes for enterprise clients to improve their operational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project teams, employing collaboration and adaptive strategies to ensure project timelines were met while accommodating changes in client requirements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detailed requirement gathering sessions with clients, translating complex business needs into structured programming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relevant technologies to achieve maximum impact.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applications leveraging the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environment, integrating diverse APIs and services to extend functionality and meet the unique needs of stakeholders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throughout development cycles to ensure exceptional quality of deliverables, implementing testing strategies that incorporated both manual and automated methods for comprehensive coverage.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primarily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source code effectively, ensuring all changes were documented and collaborates could access relevant versions during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mentoring junior developers in best practices related to coding standards and personal development paths alongside evolving software technologies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training materials and delivered workshops on emerging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technologies to cross-functional teams, helping to promote an informed workforce adept in leveraging new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effective project documentation practices, ensuring that all design specifications, code changes, and deployment notes were accurately recorded and accessible for future reference and maintenance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migration projects that involved complex ETL procedures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legacy data was accurately transferred and transformed in alignment with new application 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visual design principles to enhance user experience in applications by collaborating with UI/UX teams, ensuring that solutions were not only functional but also intuitive and user-friendly.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efforts between different business systems, ensuring cohesiveness of solutions within </w:t>
      </w:r>
      <w:r w:rsidRPr="00745DD3">
        <w:rPr>
          <w:rFonts w:ascii="Roboto Light" w:eastAsia="Roboto Light" w:hAnsi="Roboto Light" w:cs="Roboto Light"/>
          <w:b/>
          <w:bCs/>
          <w:color w:val="404040" w:themeColor="text1" w:themeTint="BF"/>
          <w:sz w:val="20"/>
          <w:szCs w:val="20"/>
        </w:rPr>
        <w:t xml:space="preserve">Microsoft Dynamics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ultimately delivering integrated platforms that facilitated cross-department communication seamlessly.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