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Mid-Level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focusing on web and mobile applications. Expertise in building scalable, secure, and efficient systems using cloud platforms and modern programming languages. Proven ability to engineer performance-critical applications while adhering to industry standards in software quality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C++, Python, C,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OpenStack, Firebase,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xml:space="preserve"> MongoDB, PostgreSQL, BigQuery, Kafka, Snowflake,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Terraform, Git, Maven, Gradle,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Spring Boot, Flask, FastAPI, GraphQL, React, Vue.js,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Mid-Level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state-of-the-art SaaS solution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sensitive data management practices while adhering to industry compliance standards for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performance-focused backend systems by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which enhanced data transaction speeds and reduced latency significantly within the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lifecycle by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streamlined testing and deployment processes, and improved overall code quality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robust systems, demonstrating adaptability while navigating complex project requirements and timelines effectively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enhancing systems architecture by incorporating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which improved scalability and ensured optimal resource utilization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enforcing coding standards and practices that enhanced software security, performance optimization, and maintainability, ensuring compliance with data protection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implementing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increasing the flexibility of API interactions and significantly improving the user experience for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algorithms that addressed complex data processing challenges, leveraging knowledge in data structures and systems design to enhance application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roles within the engineering team, fostering a culture of collaboration and knowledge sharing that contributed to team growth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and optimizations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models were efficient and well-structured for high-performance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documentation of systems and processes, promoting knowledge sharing and facilitating onboarding for new team members to enhance overall team efficiency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proactive system maintenance and early detection of issues within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codes assessments that ensured system robustness while implementing necessary changes that aligned with the technological advancements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compliance and security audits of architectural designs and coding practices to identify and mitigate potential vulnerabilities, reinforcing the organization’s commitment to data integrity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and applications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 that simplified environment provisioning and accelerated deployment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part of cross-functional teams, enhancing core platform capabilities while adhering to strict best practices in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coding standards and performance targets were exceeded by employing effective testing methodologies and performance tuning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cloud deployment strategies, gaining hands-on experience with cloud resource management and ensuring optimal scaling according to usage patterns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throughput and system responsiveness, which directly improved user satisfaction and engagement with the platforms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continuous improvement culture through participation in sprint planning and retrospectives, ensuring that the team stayed aligned with product goals while addressing technical challenges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promote the use of effective programming techniques and tools, resulting in enhanced team skills in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data-driven applications, focusing on performance improvements and implementing best practices for data management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stakeholders to understand business requirements and translate them into technical specifications, ensuring that software deliverables were not only functional but also aligned with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steady increase in code quality and predictability of releases into production environments,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diagnostics and troubleshooting efforts on production-level applications, employing systematic approaches to isolate faults and enhance service stability within both </w:t>
      </w:r>
      <w:r w:rsidRPr="00745DD3">
        <w:rPr>
          <w:rFonts w:ascii="Roboto Light" w:eastAsia="Roboto Light" w:hAnsi="Roboto Light" w:cs="Roboto Light"/>
          <w:b/>
          <w:bCs/>
          <w:color w:val="404040" w:themeColor="text1" w:themeTint="BF"/>
          <w:sz w:val="20"/>
          <w:szCs w:val="20"/>
        </w:rPr>
        <w:t xml:space="preserve">on-prem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APIs with a focus on improving client interactions, contributing to comprehensive endpoint documentation that improved developer experience and operational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multi-year technological transition projects aimed at modernizing existing legacy systems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maintainability and scalability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