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Proficient in multiple programming languages and frameworks, with strong skills in Python, SQL, React, and cloud architectures. Committed to developing scalable, secure, and efficient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Test-Driven Development (TDD), CI/CD, Microservices,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features for a scalable healthcare technology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microservices architecture, enhancing user engagement and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design innovative solutions, ensuring alignment with client needs and adherence to industry standards for secure coding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automation-focused solutions that improved deployment processes, allowing for more efficient development cycles and reduced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paired programming sessions, sharing knowledge with team members to promote best coding practices and maintain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intuitive user interfaces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UX/UI best practices, resulting in a seamless experience for end users and better engagement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ensure timely delivery and continuous improvement of software products, facilitating regular sprint reviews and retrospectives to gather feedback and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validate the reliability of applications, contributing to a robust testing framework that reduced errors in production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insights, ensuring that end-user needs were met effectively while maintaining a strong focus on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development processes and code standards, supporting knowledge transfer and onboarding of new team members to maintain a high-performance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and best practices related to healthcare technology, applying this knowledge to enhance software architecture and ensure regulatory compliance in all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scaling while ensuring high availability and performance under varying loads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collaborative development and maintaining code integrity across multiple environments, fostering a culture of shared responsibility for code quality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driving creative solutions that improved patient outcomes and streamlined interactions within the healthcare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 team to develop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scalable solutions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for web-based applications, promoting best practices in software design and development processes to enhance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enhancements for enterprise-grade applications, integrating data management components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to validate application functionality and performance, mitigating production issues through proactive testing and issue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ensure designs were effectively translated into fully functional applications, enhancing user satisfaction and increasing overall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facilitate team communication, and prioritize workload, ensuring timely delivery of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reducing the time spent on manual testing and deployment tasks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development methodologies, fostering a culture of continuous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migrate legacy systems to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initiatives, analyzing application bottlenecks, and implementing solutions that significantly improved system response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integrate third-party services into applications, enhancing functionality and enabling richer user experiences via additional features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system operations to ensure compliance with industry standards and ease of use for future development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