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applications, particularly in the Internet of Things (IoT) sector, with a strong focus on cloud integration and secure data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DynamoDB, Azure Cosmos DB,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Spring Boot, Node.js, Angular, React,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MQTT, Web Sockets, HTTP/HTTPS, OAuth, REST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communication protocols for IoT devices, enabling real-time data flow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Trimble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efficiency and reliability across multiple industrial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cross-functional teams to define and execute project specifications, ensuring alignment with stakeholder needs and adherence to timeline constraints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microservices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optimizing performance, scalability, and maintenance for enterprise-scale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cloud integrations, ensuring clarity and usability for both developers and non-technical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quality assurance efforts by drafting comprehensive test cases, participating in peer code reviews, and mentoring junior developers on best practices for secure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that streamlined service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downtime during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across communications between field devices and the cloud, successfully mitigating potential data leaks.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Graffiti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logging and monitoring of services, enabling proactive management of operational issues before they affect end users 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writers to create detailed user documentation, enhancing user experience and understanding for deployment of new software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cross-disciplinary teams to create features that met both market needs and aligned with cutting-edge technological trends in industrial IoT.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system performance and user satisfaction across various platforms including desktop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enhance team collaboration and adaptability, resulting in a more efficient development process and improved product delivery timelines for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building intuitive user interfaces, improving overall user engagement and operational efficiency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to facilitate data exchange and enhance application functionality, ensuring accurate data flow from multiple sources into central cloud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database solutions using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tackle complex software challenges, successfully migrating existing applications to more modern architectures for better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diagnostics by incorporating logging tools and performance metrics, facilitating enhanced debugging processes and responsiveness to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fostering a culture of collaboration and continuous improvement, while mentoring junior developers in best practices and innovative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