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robust web and mobile applications. Proven expertise in backend systems for billing and claims processing, utilizing technologies to ensure high reliability and performance. Strong collaborative skills foster productive partnerships within cross-functional teams, ensuring strategic technical decisions contribute to overall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Node.js, Express,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MySQL, SQL Server,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Git, CI/CD, Agile, Scrum, Jira, Confluence,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reliable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across various critical business workflows in the claims processing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architectural decisions, leading technical initiatives that align with product strategy and bolster the revenue cycle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provided mentorship to junior engineers, promoting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of continuous learning and improvement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system reliability risks, implementing observability and performance monitoring solutions that enhanced uptime and user experience, crucial for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system components leveraging cloud technologies specifically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operational efficiencies and streamlining the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and GraphQL APIs, ensuring seamless integration of backend services with frontend applications, enhancing the overall user experience for therapists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test-driven development methodologies to create maintainable applications,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deployments, thus improving team productivity and release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codebases for enhanced performance, utilizing microservices architecture to improve scalability and maintainability of backend applications amid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to iteratively refine project scopes, ensuring alignment with business models while swiftly responding to changing requirements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on data modeling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database schemas to support new functionality, while ensuring data integrity across the billing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documentation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clear records of architectural decisions and development processes for future reference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system design principles, inspiring engineers to adopt best practices and develop solutions tailored to both user needs and business objectives in the mental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data analytics teams to assess user feedback and identify opportunities for new features, enhancing client satisfaction with the platform's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emerging technologies relevant to </w:t>
      </w:r>
      <w:r w:rsidRPr="00745DD3">
        <w:rPr>
          <w:rFonts w:ascii="Roboto Light" w:eastAsia="Roboto Light" w:hAnsi="Roboto Light" w:cs="Roboto Light"/>
          <w:b/>
          <w:bCs/>
          <w:color w:val="404040" w:themeColor="text1" w:themeTint="BF"/>
          <w:sz w:val="20"/>
          <w:szCs w:val="20"/>
        </w:rPr>
        <w:t xml:space="preserve">billing and claims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from industry trends around digital health and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ownership among team members, emphasizing the importance of code quality and user experience in delivering successful technology solutions for providers and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enterprise-level applications focused on internal process improvements and enhancing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by integrating various third-party services, allowing seamless interaction within enterprise ecosystems, which maximized operational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create and refine system architectures, ensuring high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were considered throughout product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Microservices architecture, breaking down monolithic applications for improved scalability and reducing deployment times significantly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through continuous refactoring, ensuring that legacy codebases were modernized while maintaining system integrity and functionality to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align engineering priorities with business objectives, leveraging agile methodologies to enhance productivity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through rigorous testing and adherence to industry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collaborative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to support development workflows, facilitating a better understanding of component interactions and lowering the onboarding time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growth and learning through pair programming, knowledge-sharing sessions, and technical workshops that promoted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conversations to gather requirements and validate solutions, ensuring that all software delivered met client needs effectively and efficiently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uptime of applications through proactive monitoring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DevOps principles that led to increased resilience and reliability across production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in regular architecture review meetings, providing insights that shaped the development of safe, performant, and maintainable software solutions across the division.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