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designing, developing, and maintaining distributed cloud-native systems. Proficient in observability tools and best practices, focusing on system reliability and continuous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Go, JavaScript, Ruby,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Prometheus, Grafana, AppDynamics, New Relic, ELK Stack,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Bamboo,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RESTful APIs, GraphQL, Spring Boot, Node.js, Flask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SRE practices, contributing to the reliability and availability of services in a fast-paced environment focused on distributed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monitoring, logging, and alerting that ensured system health and performance were always optimal.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Defined, tracked, and reported on Service Level Objectives (SLOs) using insights gathered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continual improvements in service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management processes, fostering a blameless post-mortem culture and enhancing team learning after service outages, which contributed to more resilient systems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automate deployments, ensuring efficient updates and reducing the risk of production errors through consistent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capacity planning and application design consulting with engineering teams, ensuring systems were architected to handle growth and high availability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observability, system design, and troubleshooting, promoting a culture of knowledge sharing and continuous learning within the SRE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collaborated with software developers to reinforce best practices in version control, automated testing, and clean code fundamentals.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scripts for system health checks and performance metrics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processes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observability tools across the organization, ensuring seamless performance monitoring that aligned with engineering goals and objectives for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architecture for distributed systems,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fault-tolerant and scalable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available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microservices architecture, focusing on performance and system resilience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and delivery of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enhance API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for scalable and maintainable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production issues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root cause analysis and effective long-term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robustness and reducing regression defects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planning, daily stand-ups, and retrospective meetings to foster team collaboration and enhance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EC2, S3, and RDS, ensuring cost-effective resource allocation and operational efficiency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reviews and performance tuning on existing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system adjustments in response to usage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employees on company processes and codebase intricacies, fostering a supportive onboarding experience and culture of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assessments and best practices implementation, ensuring compliance with OWASP security guidelines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