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Technical Consultant with 11 years of extensive experience in software development, specializing in web and mobile applications. Proven ability to lead architectural decisions, optimize integration patterns, and enhance customer outcomes through effective collaboration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Go, Ruby, PHP,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Angular, Django, Gatsby, Flask,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Postman, Jest, Selenium, Cypress, Mocha,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CI/CD, Terraform, Jenkins, Ansible, Observability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MongoDB, PostgreSQL, MySQL, Redis, GraphQL, RESTful APIs, SQL,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decision-making for complex client accounts, aligning technical strategies with customer goals to drive enhanced business outcomes and ensure seamless user experiences across integrated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w:t>
      </w:r>
      <w:r w:rsidRPr="00745DD3">
        <w:rPr>
          <w:rFonts w:ascii="Roboto Light" w:eastAsia="Roboto Light" w:hAnsi="Roboto Light" w:cs="Roboto Light"/>
          <w:b/>
          <w:bCs/>
          <w:color w:val="404040" w:themeColor="text1" w:themeTint="BF"/>
          <w:sz w:val="20"/>
          <w:szCs w:val="20"/>
        </w:rPr>
        <w:t xml:space="preserve">Customer Success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co-own customer outcomes, ensuring alignment between technology solutions and client business needs to optimize time-to-value on strategic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scalable, secure, and observable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testing, and technical documentation to enhance overall system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technical narrative presentations during </w:t>
      </w:r>
      <w:r w:rsidRPr="00745DD3">
        <w:rPr>
          <w:rFonts w:ascii="Roboto Light" w:eastAsia="Roboto Light" w:hAnsi="Roboto Light" w:cs="Roboto Light"/>
          <w:b/>
          <w:bCs/>
          <w:color w:val="404040" w:themeColor="text1" w:themeTint="BF"/>
          <w:sz w:val="20"/>
          <w:szCs w:val="20"/>
        </w:rPr>
        <w:t xml:space="preserve">Quarterly Business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highlighting client successes and projecting future opportunities to deepen high-level client relationships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documentation standards for </w:t>
      </w:r>
      <w:r w:rsidRPr="00745DD3">
        <w:rPr>
          <w:rFonts w:ascii="Roboto Light" w:eastAsia="Roboto Light" w:hAnsi="Roboto Light" w:cs="Roboto Light"/>
          <w:b/>
          <w:bCs/>
          <w:color w:val="404040" w:themeColor="text1" w:themeTint="BF"/>
          <w:sz w:val="20"/>
          <w:szCs w:val="20"/>
        </w:rPr>
        <w:t xml:space="preserve">work items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implementations, facilitating transparency and communication across cross-functional teams while ensuring robust knowledge transfer for ongoing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proactive mitigation of risks by synthesizing insights from technical analyses and client feedback, presenting actionable recommendations to both technical teams and executive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training and enablement programs for junior </w:t>
      </w:r>
      <w:r w:rsidRPr="00745DD3">
        <w:rPr>
          <w:rFonts w:ascii="Roboto Light" w:eastAsia="Roboto Light" w:hAnsi="Roboto Light" w:cs="Roboto Light"/>
          <w:b/>
          <w:bCs/>
          <w:color w:val="404040" w:themeColor="text1" w:themeTint="BF"/>
          <w:sz w:val="20"/>
          <w:szCs w:val="20"/>
        </w:rPr>
        <w:t xml:space="preserve">Technical Consultants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enhancement and encouraging best practices in technical problem-solving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quality assurance protocols prior to product launches, running comprehensive readiness scans that emphasized technical reliability and customer satisfaction through stringent quality gates.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across departments, identifying areas of improvement in cross-functional collaboration to boost productivity and accelerate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partnerships with IT and architectural stakeholders, ensuring that technical narratives were aligned with organizational vision and facilitating impactful business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cloud fundamentals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system performance and reliability through in-depth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consulting on best practices for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monitor systems and provide timely insights for performance improvements and troubleshooting capabilities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industry trends, enhancing both personal capabilities and those of the team to drive innovation in technical consulting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workshops focused on </w:t>
      </w:r>
      <w:r w:rsidRPr="00745DD3">
        <w:rPr>
          <w:rFonts w:ascii="Roboto Light" w:eastAsia="Roboto Light" w:hAnsi="Roboto Light" w:cs="Roboto Light"/>
          <w:b/>
          <w:bCs/>
          <w:color w:val="404040" w:themeColor="text1" w:themeTint="BF"/>
          <w:sz w:val="20"/>
          <w:szCs w:val="20"/>
        </w:rPr>
        <w:t xml:space="preserve">API integration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competencies and aligning clients with the latest technology standards and solutions offered by PAR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ownership among team members, empowering them to take charge of their projects and enhancing overall team morale and productivity through positive leadership.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maintainable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successful deployment of various enterprise-level software solutions and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implementation,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features and efficient collaboration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software reliability and accelerating the deployment process through enhanced continuous integration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them using </w:t>
      </w:r>
      <w:r w:rsidRPr="00745DD3">
        <w:rPr>
          <w:rFonts w:ascii="Roboto Light" w:eastAsia="Roboto Light" w:hAnsi="Roboto Light" w:cs="Roboto Light"/>
          <w:b/>
          <w:bCs/>
          <w:color w:val="404040" w:themeColor="text1" w:themeTint="BF"/>
          <w:sz w:val="20"/>
          <w:szCs w:val="20"/>
        </w:rPr>
        <w:t xml:space="preserve">modular programming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reduction in technical debt and an increase in long-term maintainability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that improved developer onboarding and integration speeds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advocating for best practices in coding standards, which nurtured an environment of learning and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deployed various database solutions,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were maintained in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guiding them in best practices around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principles,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comprehensive technical documentation, which served as a critical resource for onboarding and training new team members in software development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strategies, which allowed for rapid iterations and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direct communication with stakeholders to gather requirements and feedback, enabling the successful implementation of features that aligned closely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that leveraged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insights that continuously informed software improvements and optimizations.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