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11 years in software development, specializing in web and mobile applications. Expert in machine learning, data science, and advanced biomedical analytics, with profound knowledge in bioinformatics and computational biology to drive innovative oncology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Java, C++, SQL,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Learning/AI:</w:t>
      </w:r>
      <w:r w:rsidRPr="00745DD3">
        <w:rPr>
          <w:rFonts w:ascii="Roboto Light" w:eastAsia="Roboto Light" w:hAnsi="Roboto Light" w:cs="Roboto Light"/>
          <w:color w:val="404040" w:themeColor="text1" w:themeTint="BF"/>
          <w:sz w:val="20"/>
          <w:szCs w:val="20"/>
        </w:rPr>
        <w:t xml:space="preserve"> PyTorch, TensorFlow, Scikit-learn, Keras, LightGBM, XGBoost, MLlib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AWS, GCP, Azure, Docker, Kubernetes, Apache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xml:space="preserve"> NumPy, Pandas, SciPy, Matplotlib, Seaborn, Statsmodels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xml:space="preserve"> CI/CD, Git, Jenkins, MLOps, Docker Swarm,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advanced predictive models leveraging </w:t>
      </w:r>
      <w:r w:rsidRPr="00745DD3">
        <w:rPr>
          <w:rFonts w:ascii="Roboto Light" w:eastAsia="Roboto Light" w:hAnsi="Roboto Light" w:cs="Roboto Light"/>
          <w:b/>
          <w:bCs/>
          <w:color w:val="404040" w:themeColor="text1" w:themeTint="BF"/>
          <w:sz w:val="20"/>
          <w:szCs w:val="20"/>
        </w:rPr>
        <w:t xml:space="preserve">deep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such as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complex oncology data and improve patient treatment regimens through actionable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deploying models, ensuring seamless transition from model development to real-time application in clinical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validation plans using </w:t>
      </w:r>
      <w:r w:rsidRPr="00745DD3">
        <w:rPr>
          <w:rFonts w:ascii="Roboto Light" w:eastAsia="Roboto Light" w:hAnsi="Roboto Light" w:cs="Roboto Light"/>
          <w:b/>
          <w:bCs/>
          <w:color w:val="404040" w:themeColor="text1" w:themeTint="BF"/>
          <w:sz w:val="20"/>
          <w:szCs w:val="20"/>
        </w:rPr>
        <w:t xml:space="preserve">statistical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ensure models met established performance targets, enhancing credibility within the clinical research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projects utilizing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data processing, enabling robust analysis of high-dimensional genomic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scientific leaders to publish findings in high-impact journals and present at prestigious conferences, highlighting innovative research and model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create structured </w:t>
      </w:r>
      <w:r w:rsidRPr="00745DD3">
        <w:rPr>
          <w:rFonts w:ascii="Roboto Light" w:eastAsia="Roboto Light" w:hAnsi="Roboto Light" w:cs="Roboto Light"/>
          <w:b/>
          <w:bCs/>
          <w:color w:val="404040" w:themeColor="text1" w:themeTint="BF"/>
          <w:sz w:val="20"/>
          <w:szCs w:val="20"/>
        </w:rPr>
        <w:t xml:space="preserve">feature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reproducible pipelines, converting raw assay outputs into model-ready datasets with efficient data handling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ensuring reproducibility and scalability of analytical solutions of biodata.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technical documentation for model architectures, performance metrics, and project outcomes to facilitate knowledge sharing among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software development such as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robust code review processes to ensure code quality and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advancement of foundation representations in multi-omics data analysis, focusing on </w:t>
      </w:r>
      <w:r w:rsidRPr="00745DD3">
        <w:rPr>
          <w:rFonts w:ascii="Roboto Light" w:eastAsia="Roboto Light" w:hAnsi="Roboto Light" w:cs="Roboto Light"/>
          <w:b/>
          <w:bCs/>
          <w:color w:val="404040" w:themeColor="text1" w:themeTint="BF"/>
          <w:sz w:val="20"/>
          <w:szCs w:val="20"/>
        </w:rPr>
        <w:t xml:space="preserve">DNA methylation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RNA-seq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within biostatistics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software engineering protocols within the workflow for model validation, focusing on increasing turnaround times for critical patient data evaluation.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findings from various genomic analyses into actionable insights that guided decisions in clinical trials and patient management strategies, improving care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on implementing best practices in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bioinformatics, fostering a collaborative research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performance monitoring systems for deployed models, adapting to real-world outcomes and evolving datasets to maintain relevance and accuracy of predictions.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visualizations using libraries like </w:t>
      </w:r>
      <w:r w:rsidRPr="00745DD3">
        <w:rPr>
          <w:rFonts w:ascii="Roboto Light" w:eastAsia="Roboto Light" w:hAnsi="Roboto Light" w:cs="Roboto Light"/>
          <w:b/>
          <w:bCs/>
          <w:color w:val="404040" w:themeColor="text1" w:themeTint="BF"/>
          <w:sz w:val="20"/>
          <w:szCs w:val="20"/>
        </w:rPr>
        <w:t xml:space="preserve">Matplotlib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Seaborn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complex findings in an understandable format for non-technical stakeholders.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solutions for data processing and analysis, focusing primarily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related to genomic datasets and transforming raw data into insights relevant to oncology.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cycles, collaborating with product managers, designers, and stakeholders to enhance user experience and functional aspects of genomic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including code reviews, unit testing, and pair programming, which fostered a cohesive team environment and improved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flexible RESTful APIs to allow optimized access to genomic data for researchers and clinicians, focusing on efficiency and scalability in bioinformatics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standards for data handling and architecture, ensuring compliance with regulatory requirements and supporting best practices in bioinformatics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large-scale data processing frameworks such as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handle genomics data while ensuring optimal performance and reduced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bioinformatics teams to improve algorithms for genomic analysis, resulting in increased accuracy in predicting patient outcomes based on biomarker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machine learning models, focusing on creating a streamlined workflow that facilitates quick iteration and deployment of new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data pipelines with tools like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ensuring timely analysis of bioinformatics data and quick adaptability to research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education regarding best practices in bioinformatics and data science, attending workshops and conferences that provided insights into evolving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comprehensive documentation practices for all developed software and models, ensuring consistency in knowledge transfer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 into project scoping and design discussions, yielding innovative approaches to computational challenges faced in genomic studies.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