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scalable web and mobile applications. Proficient in backend development with expertise in Go, TypeScript, and AWS. Proven ability to lead projects and enhance systems for optimal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Rust, Node.js,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gRPC, REST, GraphQL, tRPC, Express.js, Koa.js, React,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Processing:</w:t>
      </w:r>
      <w:r w:rsidRPr="00745DD3">
        <w:rPr>
          <w:rFonts w:ascii="Roboto Light" w:eastAsia="Roboto Light" w:hAnsi="Roboto Light" w:cs="Roboto Light"/>
          <w:color w:val="404040" w:themeColor="text1" w:themeTint="BF"/>
          <w:sz w:val="20"/>
          <w:szCs w:val="20"/>
        </w:rPr>
        <w:t xml:space="preserve"> Postgres, Redis, Kafka, MongoDB, SQL, ElasticSearch,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Docker, Kubernetes, Terraform, CI/CD, Git,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Grafana, Sentry, New Relic, Prometheus, Incident.io, ELK Stack,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backend infrastructure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high-throughput transactions, enabling secure custody and cross-border transfers seamlessly within evolving financial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CI/CD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 processes and improved collaboration among engineering teams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cross-functional team to enhance API usability through improved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 significantly streamlining data retrieval processes and boosting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and development efforts around blockchain technologies to integrate with stablecoin protocols, positioning the company at the forefront of financial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log tracing and monitoring systems by implementing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heightened observability and facilitated proactive incident management across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project for clustered data workflows from legacy systems to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scalability for cash flow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compliance teams to define technical strategies that aligned with regulatory guidelines and customer requirements, fostering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a series of performance improvements on microservices,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to effectively reduce latency and enhance service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utilized best practices to bolster code quality and maintainability, fostering a shared understanding of project goals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daily stand-ups and code assessments, promoting skill enhancement, team cohesion, and adherence to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and automated testing processes ensuring high code coverage, which led to a significant reduction in post-deployment issues and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models that adhered to best practices for database design, enhancing the agility and responsiveness of applications when handling transactions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the scaling and management of applications across various environments to ensure fast and reliable delivery status.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idempotent job flows for high-throughput environments that required strong audit trails, ensuring transactional accuracy and integrity across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cross-service project that focused on enhancing observability through detailed logging practices and metrics, resulting in effective issue resolution and system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robust service-oriented architectures that supported various client applications and their complex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 solutions for diverse systems, allowing seamless data transfer and enhanced user experience across applications, while maintaining strict security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teams, ensuring timely project delivery and adherence to quality standards while fostering a collaborative environment that emphasized constant innovation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migrations of legacy applications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operational efficiency for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facilitating easier management of service dependencies and simplifying integration workflows across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