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resilient applications and managing data platforms, specializing in effective data management strategies using modern technologies. Proven expertise in cloud platforms and collaboration with cross-functional teams to achieve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Scala, Go, Java,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Apache Spark, Amazon Redshift, Google BigQuery, Presto, Apache Kafka, ETL processes,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S3, Redshift, BigQuery,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Flask, Django, FastAPI, Apache Airflow, Terraform, Trino, Grafana,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NoSQL, SQLite, Cassandra, Redis,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ingestion pipelines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analytics, ensuring high reliability even during failures and network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cross-functional teams to define business requirements, translating them into scalable data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seamless integration into the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maintained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performance and ensuring data quality through automated testing and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 workflows, specifically targeting extraction, transformation, and loading (ETL), while implementing best practices for data governance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analyses on various data sets to derive actionable insights, guiding stakeholders in making informed decisions while presenting findings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system architectures to propose enhancements, significantly reducing downtime through efficient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automation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best practices in data modeling and system design, promoting a culture of continuous learning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while ensuring deliverables align with business priorities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existing data applications, focusing on scalability and maintainability of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libraries for data processing tasks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and aligning development efforts with enterprise-level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protocols for data protection within the platform, ensuring adherence to industry regulations while working with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architectures and data flows comprehensively, creating knowledge transfer materials that facilitated onboarding for new team members while maintaining institutional memory.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optimization initiatives that leveraged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within the data pipeline, leading to significant improvements in processing times and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tests to validate data integrity across various platforms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service reliability were consistently met and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through regular feedback sessions and technical discussions, encouraging open communication and effective problem-solving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features for a multi-tiered architecture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modularity and maintainability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data visualization requirements, interpreting business needs and developing informative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retrieval and processing workflows by developing stored procedures and leveraging </w:t>
      </w:r>
      <w:r w:rsidRPr="00745DD3">
        <w:rPr>
          <w:rFonts w:ascii="Roboto Light" w:eastAsia="Roboto Light" w:hAnsi="Roboto Light" w:cs="Roboto Light"/>
          <w:b/>
          <w:bCs/>
          <w:color w:val="404040" w:themeColor="text1" w:themeTint="BF"/>
          <w:sz w:val="20"/>
          <w:szCs w:val="20"/>
        </w:rPr>
        <w:t xml:space="preserve">cloud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specification documents for new products, ensuring alignment with competitor features and overall market trends, embracing a customer-centric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setting up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decreasing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while promoting coding standards and best practices in terms of both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production issues, performing root-cause analysis, and implementing corrective actions to avoid future occurrences, showing strong problem-solving and analytical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bases and documentation projects, enhancing information sharing across the engineering team and improving onboarding processes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and contributed to defining best practices and standards for microservices development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with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health and responsiveness were actively tracked and communicated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unit and integration testing frameworks within existing applications,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across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engineers on emerging technologies, including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understanding and ability to innovate in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