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specializing in AI integration and backend architectures. Proven ability to leverage Java, Python, and other technologies to build scalable platforms, ensuring compliance and high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Kotlin, Go, JavaScript, TypeScript,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Hugging Face, OpenAI API, MLflow, scikit-learn, Keras, RLlib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Kafka, Spring Boot, Flask, FastAPI, Docker, Kubernetes, Terraform,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Cassandra, Apache Kafka, Elasticsearch, Firebase, Vector databases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Git, Jenkins, CircleCI,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implementation of AI-driven backend services, fostering collaboration among product teams and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scalable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teams to deploy machine learning models, implementing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feature engineering and inference, ensuring regulatory compliance in AI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AI and 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orchestrating workshops that enhanced their handling of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technically adept engineering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standards for building AI-enabled features, utilizing </w:t>
      </w:r>
      <w:r w:rsidRPr="00745DD3">
        <w:rPr>
          <w:rFonts w:ascii="Roboto Light" w:eastAsia="Roboto Light" w:hAnsi="Roboto Light" w:cs="Roboto Light"/>
          <w:b/>
          <w:bCs/>
          <w:color w:val="404040" w:themeColor="text1" w:themeTint="BF"/>
          <w:sz w:val="20"/>
          <w:szCs w:val="20"/>
        </w:rPr>
        <w:t xml:space="preserve">OpenAI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optimal integration with our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systems for seamless user interactions and responsive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evaluation framework for AI services, employing A/B testing methodologies and performance monitoring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including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Legal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enforce access controls and ensure the AI platform adhered to strict regulatory requirements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microservices, ensuring high availability and reliability for AI applications while maintaining observability and performance metrics across the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orchestrated robust API frameworks improving developer experience with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interaction between frontend applications and backend AI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design discussions to uphold engineering excellence, fostering a culture of continuous improvement and skill development among mid and senior-level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community regarding best practices in </w:t>
      </w:r>
      <w:r w:rsidRPr="00745DD3">
        <w:rPr>
          <w:rFonts w:ascii="Roboto Light" w:eastAsia="Roboto Light" w:hAnsi="Roboto Light" w:cs="Roboto Light"/>
          <w:b/>
          <w:bCs/>
          <w:color w:val="404040" w:themeColor="text1" w:themeTint="BF"/>
          <w:sz w:val="20"/>
          <w:szCs w:val="20"/>
        </w:rPr>
        <w:t xml:space="preserve">AI safety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ethical considerations, contributing insights from my work implementing guardrails and policies for AI models during design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Speared initiatives to integrate LLMs into existing platforms, assessing trade-offs regarding latency, privacy, costs, and aligning our solutions with industry trends for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alignment between product roadmaps and technical developments, prioritizing initiatives that push the boundaries of what's achievable within our AI implementations and overall software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backend service enhancements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ingestion processes, proving crucial in refining data quality for AI model consumption and fostering collaborative efforts across diverse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platform evolution discussions, advocating for a platform mindset among engineers and stakeholders to streamline AI feature development across product lines and increase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ensuring a reproducible environment setup promoting reliability and scalability for AI platforms across multiple deployment scenarios.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distributed systems in a cloud environment, implementing microservices with robust transactional support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contributing to the development of scalable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 enhancements to legacy systems, transitioning several core components to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resource management and operational efficiency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communication and alignment, bridging product and engineering teams to ensure clear understanding of business requirements and technical capabilities in software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systems to enhance data processing speeds using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while processing substantial transaction volumes resonant within fintech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execution of unit and integration tests across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software quality and reliability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practices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 processes, resulting in markedly faster release cycles without sacrificing stability or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challenging projects and code reviews, enhancing their knowledge in distributed systems and reinforcing best practices in code quality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architectural discussions, influencing decisions that shaped the future direction of system design towards microservices and event-driven architectures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and technical materials ensuring shareability of knowledge across teams, improving onboarding processes and maintaining continuity of engineering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branching strategies effectively, which allowed for smoother collaborative coding efforts among team members and better project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Implementing security best practices, developed application features that adhered to compliance regulations while leveraging secure coding standards across all developed software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