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designing, developing, and maintaining scalable web and mobile applications. Demonstrated expertise in Python, Rust, Typescript, and backend service architecture, committed to high performance and robust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Rust, Go, Node.js, Java, Typescript, Django,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Express.js, Spring, Flask, FastAPI,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 MySQL, MongoDB, Redis, ElasticSearch, NoSQL, SQL Server,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Kubernetes, Docker, Terraform, Datadog,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Microservices:</w:t>
      </w:r>
      <w:r w:rsidRPr="00745DD3">
        <w:rPr>
          <w:rFonts w:ascii="Roboto Light" w:eastAsia="Roboto Light" w:hAnsi="Roboto Light" w:cs="Roboto Light"/>
          <w:color w:val="404040" w:themeColor="text1" w:themeTint="BF"/>
          <w:sz w:val="20"/>
          <w:szCs w:val="20"/>
        </w:rPr>
        <w:t xml:space="preserve"> REST, gRPC, GraphQL, WebSockets, Service-Oriented Architecture, API Management,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Bitbucket, Jira, Confluence, Postman, Swagger,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highly scalable services that improved the overall platform by enhancing user interfaces and experience, contributing to more effective data-driven decision making across numerous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consisting of Product Management, Design, and Infrastructure to tackle complex technical challenges while delivering engaging features that met user needs and strategic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optimized RESTful and gRPC APIs that streamlined data exchanges between services, significantly increasing the speed and reliability of key functionalities, enhancing the scalability of developed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best practices in software design and engineering processes, instilling a culture of excellence, and facilitating knowledge transfer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observability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system performance and debug production issues, leading to a noticeable improvement in reliability and uptime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 processes to ensure adherence to engineering standards and foster collaboration, resulting in improved code quality and teamwork among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optimizations through systematic analysis and code refining, effectively enhancing the overall efficiency of applications by improving response times and decreasing load on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cloud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automated scaling of applications according to changing user demands, promoting resilience of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that promoted a technical excellence culture, actively advocating for innovative solutions that aligned engineering practices with cutting-edge industry trends to deliver impactful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software engineering best practices, including unit testing and continuous integration, to ensure high code quality and deliver features swiftly, enhancing team productivity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foster collaborative relationships between engineering, product design, and UX teams, ensuring that user needs were at the forefront of the software development lifecycle, driving a user-centric design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solutions for data transformation processes, contributing to enhanced data reliability and integrity, which successfully empowered users to extract actionable insights from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and technologies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back-end services, ensuring high availability while meeting stringent performance metrics to satisfy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architecture discussions to define system requirements and design patterns, ensuring alignment with the organization's long-term vision in delivering innovative data products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security best practices across development, identifying potential vulnerabilities and embedding secure coding principles into the software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increased system modularity, enabling quicker feature releases and updates, aligning with the company’s agile methodology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robust infrastructure systems that catered to extensive data processing needs, promoting efficiency in handling large-scale data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analytics teams to enhance backend capabilities for data manipulation and retrieval, significantly improving data processing speeds and user satisfaction across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a rigorous testing culture, ensuring software reliability and quality throughout the development lifecycle while reducing defect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continuous integration pipelines by incorporating automated testing and deployment processes, resulting in faster release cycles and higher quality software delivery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through observability tools, allowing for rapid identification and resolution of performance bottlenecks, effectively reacting to changes in user demand and system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refactoring sessions aimed at improving code maintainability, resulting in increased codebase readability and reduced technical debt for future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pertaining to data storage solutions, adopting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when needed, to better serve the dynamic data requirements of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emerging technologies and trends, advocating for their integration into the existing software stack to inspire innovation within project teams and across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developer documentation, effectively communicating architecture decisions and best practices to support team onboarding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authentication and authorization services, ensuring robust security measures were in place for sensitive data interactions, aligning with industry standards for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project management efforts through active participation in sprint planning and retrospectives, helping refine processes and enhance team collaboration, delivering projects more efficiently.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