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proficient in building scalable systems, mentoring junior engineers, and developing innovative solutions to enhance user experience and drive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Haskell, Python, Java,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Redux, GraphQL,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Firebase, Cassandra, Elasticsearch,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GCP, Azure,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Selenium, Prometheus, Grafana,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performance through the integration of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fostering a culture of knowledge sharing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addressing technical challenges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high-availability applications leveraging modern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resulting in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key growth opportunities through </w:t>
      </w:r>
      <w:r w:rsidRPr="00745DD3">
        <w:rPr>
          <w:rFonts w:ascii="Roboto Light" w:eastAsia="Roboto Light" w:hAnsi="Roboto Light" w:cs="Roboto Light"/>
          <w:b/>
          <w:bCs/>
          <w:color w:val="404040" w:themeColor="text1" w:themeTint="BF"/>
          <w:sz w:val="20"/>
          <w:szCs w:val="20"/>
        </w:rPr>
        <w:t xml:space="preserve">virality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offerings and contributing to significant customer acquisition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A/B testing strategies alongside product management to validate new features and enhancements, employing statistical analysis to drive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decisions in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clear architectural standards while making crucial decisions that balanced </w:t>
      </w:r>
      <w:r w:rsidRPr="00745DD3">
        <w:rPr>
          <w:rFonts w:ascii="Roboto Light" w:eastAsia="Roboto Light" w:hAnsi="Roboto Light" w:cs="Roboto Light"/>
          <w:b/>
          <w:bCs/>
          <w:color w:val="404040" w:themeColor="text1" w:themeTint="BF"/>
          <w:sz w:val="20"/>
          <w:szCs w:val="20"/>
        </w:rPr>
        <w:t xml:space="preserve">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long-term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immediate needs while preparing for future expansions.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suite of </w:t>
      </w:r>
      <w:r w:rsidRPr="00745DD3">
        <w:rPr>
          <w:rFonts w:ascii="Roboto Light" w:eastAsia="Roboto Light" w:hAnsi="Roboto Light" w:cs="Roboto Light"/>
          <w:b/>
          <w:bCs/>
          <w:color w:val="404040" w:themeColor="text1" w:themeTint="BF"/>
          <w:sz w:val="20"/>
          <w:szCs w:val="20"/>
        </w:rPr>
        <w:t xml:space="preserve">payment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rapid onboardings, fostering organic growth through seamless user transactions and interactions between </w:t>
      </w:r>
      <w:r w:rsidRPr="00745DD3">
        <w:rPr>
          <w:rFonts w:ascii="Roboto Light" w:eastAsia="Roboto Light" w:hAnsi="Roboto Light" w:cs="Roboto Light"/>
          <w:b/>
          <w:bCs/>
          <w:color w:val="404040" w:themeColor="text1" w:themeTint="BF"/>
          <w:sz w:val="20"/>
          <w:szCs w:val="20"/>
        </w:rPr>
        <w:t xml:space="preserve">Mercury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referral systems utilizing advanced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user journey and enhancing the ease of inviting new customers into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tools specifically designed for partners, enabling efficient management alongside </w:t>
      </w:r>
      <w:r w:rsidRPr="00745DD3">
        <w:rPr>
          <w:rFonts w:ascii="Roboto Light" w:eastAsia="Roboto Light" w:hAnsi="Roboto Light" w:cs="Roboto Light"/>
          <w:b/>
          <w:bCs/>
          <w:color w:val="404040" w:themeColor="text1" w:themeTint="BF"/>
          <w:sz w:val="20"/>
          <w:szCs w:val="20"/>
        </w:rPr>
        <w:t xml:space="preserve">multi-entity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optimized workflows and reducing onboarding times for client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analytical tools to monitor application performance, ensuring optimal user experiences and making real-time adjustments based on feedback and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sprints, brainstorming innovative features to enhance product usability, while aligning closely with data scientists for </w:t>
      </w:r>
      <w:r w:rsidRPr="00745DD3">
        <w:rPr>
          <w:rFonts w:ascii="Roboto Light" w:eastAsia="Roboto Light" w:hAnsi="Roboto Light" w:cs="Roboto Light"/>
          <w:b/>
          <w:bCs/>
          <w:color w:val="404040" w:themeColor="text1" w:themeTint="BF"/>
          <w:sz w:val="20"/>
          <w:szCs w:val="20"/>
        </w:rPr>
        <w:t xml:space="preserve">user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interpretation and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translate business objectives into technical requirements, ensuring alignment between product vision and engineering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to maintain </w:t>
      </w:r>
      <w:r w:rsidRPr="00745DD3">
        <w:rPr>
          <w:rFonts w:ascii="Roboto Light" w:eastAsia="Roboto Light" w:hAnsi="Roboto Light" w:cs="Roboto Light"/>
          <w:b/>
          <w:bCs/>
          <w:color w:val="404040" w:themeColor="text1" w:themeTint="BF"/>
          <w:sz w:val="20"/>
          <w:szCs w:val="20"/>
        </w:rPr>
        <w:t xml:space="preserve">high-quality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constructive feedback to nurture the development environment toward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agile development process, ensuring iterative improvement cycles that enhanced productivity and adapted rapidly to changing market demands or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leveraging insights from customer interactions to inform product direction and prioritize features that maximized </w:t>
      </w:r>
      <w:r w:rsidRPr="00745DD3">
        <w:rPr>
          <w:rFonts w:ascii="Roboto Light" w:eastAsia="Roboto Light" w:hAnsi="Roboto Light" w:cs="Roboto Light"/>
          <w:b/>
          <w:bCs/>
          <w:color w:val="404040" w:themeColor="text1" w:themeTint="BF"/>
          <w:sz w:val="20"/>
          <w:szCs w:val="20"/>
        </w:rPr>
        <w:t xml:space="preserve">customer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 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dynamic web applications that were robust, responsive, and tailored to customer needs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seamlessly with various frontend technologies, enhancing overall user experience and performance significantly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develop user-friendly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mobile responsiveness for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testing, reducing the incidence of bugs and enhancing the reliability of applications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an Agile environment, participating in daily scrums and retrospectives to continuously improve development processes and product deliveries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efficiently, enhancing scalability and reducing latency for end-users through optimized infrastructure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data retrieval methods that supported business intelligence efforts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application capabilities, enhancing functionality and providing end-users with additional features to improve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product support and troubleshooting assistance, applying analytical skills to diagnose issues and implement effective solutions swiftly, ensuring minimal disruption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applications and processes, maintaining clarity and usability for future development teams and ensuring knowledge transfer across the organization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reporting features that delivered real-time insights into application performance,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and informed decision-making at the business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security teams to implement best practices for data protection, ensuring that all applications adhered to compliance standards and safeguarded user information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