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extensive experience in building and optimizing distributed systems, focusing on cloud databases, data synchronization, and performance optimization techniques in web and mobile application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C++, Python, Java, Go,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 Ansible, Helm,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Systems:</w:t>
      </w:r>
      <w:r w:rsidRPr="00745DD3">
        <w:rPr>
          <w:rFonts w:ascii="Roboto Light" w:eastAsia="Roboto Light" w:hAnsi="Roboto Light" w:cs="Roboto Light"/>
          <w:color w:val="404040" w:themeColor="text1" w:themeTint="BF"/>
          <w:sz w:val="20"/>
          <w:szCs w:val="20"/>
        </w:rPr>
        <w:t xml:space="preserve"> RocksDB, MySQL, PostgreSQL, MongoDB, Redis, Cassandra,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Testing:</w:t>
      </w:r>
      <w:r w:rsidRPr="00745DD3">
        <w:rPr>
          <w:rFonts w:ascii="Roboto Light" w:eastAsia="Roboto Light" w:hAnsi="Roboto Light" w:cs="Roboto Light"/>
          <w:color w:val="404040" w:themeColor="text1" w:themeTint="BF"/>
          <w:sz w:val="20"/>
          <w:szCs w:val="20"/>
        </w:rPr>
        <w:t xml:space="preserve"> Prometheus, Grafana, JUnit, LoadRunner, Sentry, Zabbix, New Relic,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distributed systems for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reliability through innovative caching mechanisms and data consistency protocols, thereby significantly improving the efficiency of data synchronization across edge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in asynchronous environments to design and implement robust distributed architecture utilizing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integration between edge computing and cloud infrastructure for enhanced scalability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tuning efforts on distributed systems, employing advanced algorithms and load testing strategies to ensure high availability and responsiveness of </w:t>
      </w:r>
      <w:r w:rsidRPr="00745DD3">
        <w:rPr>
          <w:rFonts w:ascii="Roboto Light" w:eastAsia="Roboto Light" w:hAnsi="Roboto Light" w:cs="Roboto Light"/>
          <w:b/>
          <w:bCs/>
          <w:color w:val="404040" w:themeColor="text1" w:themeTint="BF"/>
          <w:sz w:val="20"/>
          <w:szCs w:val="20"/>
        </w:rPr>
        <w:t xml:space="preserve">peer-to-peer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under varying loads and real-world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architecture designs for new features, fostering knowledge sharing and effective implementation strategies. This led to smoother onboarding processes and improved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with the SRE team, implementing incident response protocols and root-cause analysis procedures that ensured the integrity and uptime of critical production systems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policies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reproducible deployments in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best practices in automation and DevOps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features of the platform by designing and maintaining reliable </w:t>
      </w:r>
      <w:r w:rsidRPr="00745DD3">
        <w:rPr>
          <w:rFonts w:ascii="Roboto Light" w:eastAsia="Roboto Light" w:hAnsi="Roboto Light" w:cs="Roboto Light"/>
          <w:b/>
          <w:bCs/>
          <w:color w:val="404040" w:themeColor="text1" w:themeTint="BF"/>
          <w:sz w:val="20"/>
          <w:szCs w:val="20"/>
        </w:rPr>
        <w:t xml:space="preserve">caches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proxies, effectively bridging transmission gaps between Big Peers and Small Peers in the network, boosting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technologies and industry best practices in building resilient data synchronization features that empower applications to function efficiently in low-connectivity scenarios, enhancing user experience in 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diverse teams globally, promoting effective communication and collaboration tools to ensure successful project outcomes, thus fostering an inclusive and innovative workplace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trends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edge technology, incorporating findings into strategic planning and development efforts to maintain technological relevance and competitive advantage as the market evolves.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visibility into system performance, utilizing metrics and alerts to proactively address performance bottlenecks before they impact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guiding junior engineers in best practices and ensure adherence to coding standards, while fostering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CRDTs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consistency across distributed networks, thereby ensuring optimal user interaction even under fluctuating connectivity conditions and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solutions for performance testing and continuous integration, refining workflows to reduce deployment cycle times and improve overall software quality while enhancing team responsiveness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for strategic planning and execution of development tasks, ensuring alignment with business objectives and cultivating a productive work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that 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flexible delivery of products and rapid response to shifting priorities while maintaining high-quality coding practices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translate complex business requirements into scalable software solutions in </w:t>
      </w:r>
      <w:r w:rsidRPr="00745DD3">
        <w:rPr>
          <w:rFonts w:ascii="Roboto Light" w:eastAsia="Roboto Light" w:hAnsi="Roboto Light" w:cs="Roboto Light"/>
          <w:b/>
          <w:bCs/>
          <w:color w:val="404040" w:themeColor="text1" w:themeTint="BF"/>
          <w:sz w:val="20"/>
          <w:szCs w:val="20"/>
        </w:rPr>
        <w:t xml:space="preserve">distributed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delivering applications that meet customer needs and drive business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mentorship programs, guiding junior developers through code optimization practices and performance improvements, fostering an agile workforce that embraces best practices and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microservices architectures, ensuring efficient resource utilization while maintaining high levels of scalability and maintainability across dynamic applications developed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employing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tests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which contributed to delivering high-quality software and minimizing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data processing systems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handling of large-scale datasets and enhancing the responsiveness of applications deployed across diverse client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leveraging extensive experience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propose innovative solutions that improve functionality and user experience in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robust CI/CD pipeline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enhancing agility in responding to product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application bottlenecks by employing sophisticated profiling techniques and optimization strategies, ensuring high performance while managing large datasets under real-world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forums and discussions within the engineering community to share insights on evolving technologies related to </w:t>
      </w:r>
      <w:r w:rsidRPr="00745DD3">
        <w:rPr>
          <w:rFonts w:ascii="Roboto Light" w:eastAsia="Roboto Light" w:hAnsi="Roboto Light" w:cs="Roboto Light"/>
          <w:b/>
          <w:bCs/>
          <w:color w:val="404040" w:themeColor="text1" w:themeTint="BF"/>
          <w:sz w:val="20"/>
          <w:szCs w:val="20"/>
        </w:rPr>
        <w:t xml:space="preserve">edge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distributed systems, leading to the adoption of best practices that drive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refine system test frameworks and improve testing coverage, thereby ensuring stability, reliability, and performance for client-facing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presented architectural decisions to stakeholders, ensuring clarity and understanding of technical directions while influencing the strategic planning process in software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