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cloud-native applications, specializing in Kubernetes, CI/CD, and infrastructure as code. Proven ability to lead complex projects and mentor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Kafka, Snowflake, Redis,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Zipkin,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SOC2, ISO 27001, OAuth, SSO, TLS/SSL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remained resilient, scalable, and observable while meeting high industry standards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delivery processes and significantly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continuous improvement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analytics and improving system performance across multiple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and ensuring swift resolution of production issues while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security best practices within the team, advocating for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 across all projects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strategies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infrastructure management and reducing configuration drift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initiatives that simplified platform capabilities, enhancing developer experience through readily accessible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usage metering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documentation for complex 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foster knowledge-sharing and collaborative problem-solving, resulting in a cohesive team dynamic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interaction between applications and databases, effectively optimizing data queries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emerging technologies and industry trends to inform strategic direction, adapting engineering approaches in alignment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shared on-call rotations,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excellence, fostering a proactive approach to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on architectural decisions and system designs, ensuring clarity and accessibility for all team members, promoting inclusivity and understanding of complex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development, enhancing technical skills across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analytics, ensuring relevance in a rapidly 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insights from previous projects to implement refined processes which bolstered team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project execution and resilience in a dynamic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agile development of multi-tier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source control and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a robust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internal and external clients, thereby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discuss project milestones, fostering open communication among team members and aligning on development goals and timelines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lifecycle to ensure quality releases and reduce the number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application requirements and functionality, translating business needs into technical specifications and actionable development tasks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implementation for high-transaction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and ensuring efficient usage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encouraging knowledge sharing and improving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team, leading to a cohesive and effective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user experience, driving user satisfaction through a focus on responsive and accessible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scripted utilities for automating routine tasks and improving operational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 and allowing the team to focus on value-driven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community-building initiatives within the engineering department, organizing hackathons and knowledge-sharing sessions to promote collaboration and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migration processes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