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high-performance applications. I have a strong focus on Rust and blockchain technology, particularly with Solana. Proven track record in distributed systems development and performance modeling. Excels in collaboration with diverse teams and proficient in complex system design and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JavaScript, TypeScript, Solidity, Python,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Actix, Rocket, Solana SDK, TensorFlow, Express,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 Environments:</w:t>
      </w:r>
      <w:r w:rsidRPr="00745DD3">
        <w:rPr>
          <w:rFonts w:ascii="Roboto Light" w:eastAsia="Roboto Light" w:hAnsi="Roboto Light" w:cs="Roboto Light"/>
          <w:color w:val="404040" w:themeColor="text1" w:themeTint="BF"/>
          <w:sz w:val="20"/>
          <w:szCs w:val="20"/>
        </w:rPr>
        <w:t xml:space="preserve"> Git, Docker, Kubernetes, PostgreSQL, Redis, AWS, GCP,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Solana, Ethereum, Hyperledger, DeFi, NFTs, Smart Contracts, Cryptography, Wallet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Prometheus, Grafana, Jaeger, Apm, Load Testing, Benchmarking, Profiling, Network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on </w:t>
      </w:r>
      <w:r w:rsidRPr="00745DD3">
        <w:rPr>
          <w:rFonts w:ascii="Roboto Light" w:eastAsia="Roboto Light" w:hAnsi="Roboto Light" w:cs="Roboto Light"/>
          <w:b/>
          <w:bCs/>
          <w:color w:val="404040" w:themeColor="text1" w:themeTint="BF"/>
          <w:sz w:val="20"/>
          <w:szCs w:val="20"/>
        </w:rPr>
        <w:t xml:space="preserve">validator economics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incentive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driving protocol innovations and enhancing network reliability for improved application performance in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performance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bottlenecks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smooth blockchain interactions and validate architectural decisions against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analysis of </w:t>
      </w:r>
      <w:r w:rsidRPr="00745DD3">
        <w:rPr>
          <w:rFonts w:ascii="Roboto Light" w:eastAsia="Roboto Light" w:hAnsi="Roboto Light" w:cs="Roboto Light"/>
          <w:b/>
          <w:bCs/>
          <w:color w:val="404040" w:themeColor="text1" w:themeTint="BF"/>
          <w:sz w:val="20"/>
          <w:szCs w:val="20"/>
        </w:rPr>
        <w:t xml:space="preserve">Solana's core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w:t>
      </w:r>
      <w:r w:rsidRPr="00745DD3">
        <w:rPr>
          <w:rFonts w:ascii="Roboto Light" w:eastAsia="Roboto Light" w:hAnsi="Roboto Light" w:cs="Roboto Light"/>
          <w:b/>
          <w:bCs/>
          <w:color w:val="404040" w:themeColor="text1" w:themeTint="BF"/>
          <w:sz w:val="20"/>
          <w:szCs w:val="20"/>
        </w:rPr>
        <w:t xml:space="preserve">edge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 stress to inform adjustments in protocol design that align with established </w:t>
      </w:r>
      <w:r w:rsidRPr="00745DD3">
        <w:rPr>
          <w:rFonts w:ascii="Roboto Light" w:eastAsia="Roboto Light" w:hAnsi="Roboto Light" w:cs="Roboto Light"/>
          <w:b/>
          <w:bCs/>
          <w:color w:val="404040" w:themeColor="text1" w:themeTint="BF"/>
          <w:sz w:val="20"/>
          <w:szCs w:val="20"/>
        </w:rPr>
        <w:t xml:space="preserve">validator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criteria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sophisticated </w:t>
      </w:r>
      <w:r w:rsidRPr="00745DD3">
        <w:rPr>
          <w:rFonts w:ascii="Roboto Light" w:eastAsia="Roboto Light" w:hAnsi="Roboto Light" w:cs="Roboto Light"/>
          <w:b/>
          <w:bCs/>
          <w:color w:val="404040" w:themeColor="text1" w:themeTint="BF"/>
          <w:sz w:val="20"/>
          <w:szCs w:val="20"/>
        </w:rPr>
        <w:t xml:space="preserve">system-level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evaluated performance characteristics and correctness within a context of high-frequency trading applications on </w:t>
      </w:r>
      <w:r w:rsidRPr="00745DD3">
        <w:rPr>
          <w:rFonts w:ascii="Roboto Light" w:eastAsia="Roboto Light" w:hAnsi="Roboto Light" w:cs="Roboto Light"/>
          <w:b/>
          <w:bCs/>
          <w:color w:val="404040" w:themeColor="text1" w:themeTint="BF"/>
          <w:sz w:val="20"/>
          <w:szCs w:val="20"/>
        </w:rPr>
        <w:t xml:space="preserve">blockchain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external researchers, regulatory bodies, and </w:t>
      </w:r>
      <w:r w:rsidRPr="00745DD3">
        <w:rPr>
          <w:rFonts w:ascii="Roboto Light" w:eastAsia="Roboto Light" w:hAnsi="Roboto Light" w:cs="Roboto Light"/>
          <w:b/>
          <w:bCs/>
          <w:color w:val="404040" w:themeColor="text1" w:themeTint="BF"/>
          <w:sz w:val="20"/>
          <w:szCs w:val="20"/>
        </w:rPr>
        <w:t xml:space="preserve">validators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mainnet integration, underscoring the transformative role of economic models in the blockchain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proofs of 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 lifecycle primitives, contributing to building a resilient infrastructure able to support the adaptable demands of modern blockchain applications and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research and benchmarking of global account models across multiple </w:t>
      </w:r>
      <w:r w:rsidRPr="00745DD3">
        <w:rPr>
          <w:rFonts w:ascii="Roboto Light" w:eastAsia="Roboto Light" w:hAnsi="Roboto Light" w:cs="Roboto Light"/>
          <w:b/>
          <w:bCs/>
          <w:color w:val="404040" w:themeColor="text1" w:themeTint="BF"/>
          <w:sz w:val="20"/>
          <w:szCs w:val="20"/>
        </w:rPr>
        <w:t xml:space="preserve">virtual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implementation strategies and technical risks associated with evolving blockchain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process for </w:t>
      </w:r>
      <w:r w:rsidRPr="00745DD3">
        <w:rPr>
          <w:rFonts w:ascii="Roboto Light" w:eastAsia="Roboto Light" w:hAnsi="Roboto Light" w:cs="Roboto Light"/>
          <w:b/>
          <w:bCs/>
          <w:color w:val="404040" w:themeColor="text1" w:themeTint="BF"/>
          <w:sz w:val="20"/>
          <w:szCs w:val="20"/>
        </w:rPr>
        <w:t xml:space="preserve">bandwidth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blockspace pricing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economic alignment through comprehensive understanding of </w:t>
      </w:r>
      <w:r w:rsidRPr="00745DD3">
        <w:rPr>
          <w:rFonts w:ascii="Roboto Light" w:eastAsia="Roboto Light" w:hAnsi="Roboto Light" w:cs="Roboto Light"/>
          <w:b/>
          <w:bCs/>
          <w:color w:val="404040" w:themeColor="text1" w:themeTint="BF"/>
          <w:sz w:val="20"/>
          <w:szCs w:val="20"/>
        </w:rPr>
        <w:t xml:space="preserve">Solana's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mechanisms and objectives without sacrificing performance thoughtfulness.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explaining complex implementations while maintaining clarity and precision to aid team members and stakeholders in comprehending critical aspects of blockchain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asynchronous workflows to maintain high ownership and proactive communication within a remote team while leading initiatives that push the boundaries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performance and simplicity.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foundational support for critical applications and enhancing the overall scalability of multiple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across different domains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automated testing frameworks across multiple projects to ensure rigorous quality assurance and reliability standards were met, significantly reducing the incidence of bugs and performance issues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cloud-based 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and flexible solutions that intelligently respond to user demands and application directives.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performance tuning for both existing and new systems, focusing on improving transaction throughput and ensuring system resilience under load, aligning closely with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and engineering teams, providing insights that shaped design decisions while actively engaging in code reviews that fostered a culture of continuous improvement and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hosted in the cloud, facilitating rapid deployment and environmental consistency during the application lifecycle, aligned with industry best practices for DevOps.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practices ensuring that all technical procedures and system architectures were thoroughly described for future reference and adherence to regulatory compliance standard's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experimental methodologies for application lifecycle management, aiming at optimizing performance and operational efficiencies in line with the organization's goals of enhancing local and global transactions.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