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applications, specializing in React, JavaScript, and TypeScript. Proven ability to lead front-end architecture for complex systems and mentor engineering teams towards best practices. Strong background in integrating advanced security measures using OAuth2, OIDC, and OpenSAML in large-scale deployments, ensuring seamless collaborations between front-end and back-end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OAuth2, OpenID Connect (OIDC), OpenSAML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Swagger,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performance and maintainability, resulting in high-quality user interfaces that meet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the architectural framework of a mission-critical web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integrity and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design sprints with cross-functional teams, ensuring effective communication between front-end and back-end stakeholders, which enhanced project delivery timelines and increased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coding standards, and secure authentication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overall application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web applications while leveraging state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around sensitive information,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thereby significantly reducing the risk of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optimization of front-end performance, utilizing profiling tools to analyze and enhance loading times and responsiveness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sophisticated and responsive layouts, applying CSS methodologies such as BEM or SMACSS to maintain stylistic consistency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modern CI/CD practices through collaboration platforms such as Jenkins and GitHub Actions, promoting automation and efficiency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high-quality standards and adherence to project specifications while providing constructive feedback for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performance, significantly reducing the number of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consistency and efficiency in development efforts across multiple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metrics and monitoring frameworks for effective assessment of application efficiency during production phases using industry-standard tools such as New Relic.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collaborative environment with back-end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cross-team functionality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components of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user experience across various platforms and devices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architect and implement high-availability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improvement of system architecture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better resource utilization and reduced deployment times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effectiveness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redesign legacy applications into modern, scalable architectures focused on performance, maintainability, and user benefits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projects, enhancing the knowledge base and onboarding processes for new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multiple applications to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infrastructure costs reduction for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integrate their requirements into the architecture, resulting in tailored solutions that enhanced service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technologies, fostering development and skill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debugging to maintain system integrity and optimize application performance, employing tools to continually improve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enterprise applications, ensuring accurate data flow and consistent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practices, ensuring efficiency and responsiveness to changing project requirements through adaptive planning and proactive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