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specializing in web and mobile applications. Proven ability to lead safety investigations, improve operational safety processes, and work cross-functionally. Expert in data-driven decision making and passionate about developing innovative safety solutions in the automotive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C/C++,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Management &amp;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MATLAB, Simulink, Tableau,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Flask,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&amp; Safety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 26262, SAE J3016, ANSI/ISA 18.2, NFPA 70E, IEC 61508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safety, ensuring compliance with industry standards and fostering a culture of safety awareness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Operations, Engineering, and Training to optimize safety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safety investigations and developed effective corrective and preventive action plans to address identified risks, enhancing the overall safety profile of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mentoring junior team members, sharing best practices in safety management, and promoting a proactive approach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safety processes, facilitating easy access to vital information and ensuring adherence to regulatory compliance during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analytics and modelling techniques to evaluate safety performance metrics, enabling informed decision-making and the identification of emerging safety trends in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reviews and audits, advocating for safety improvements and contributing insights that align operational strategies with safety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presented detailed reports on safety performance metrics to senior management, emphasizing the importance of operational safety and support for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incident tracking methodologies through innovative software solutions, resulting in enhanced visibility of operational risks and improved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communication strategies to engage stakeholders at all levels, ensuring transparency and accountability in safety-related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automotive safety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 development processes, ensuring that safety was prioritized throughout the lifecycle of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team environments, effectively collaborating with cross-functional groups to deliver high-quality software solutions that met rigorous safety requirements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software applications, focusing on enhancing safety functionalities and supporting operational effectiveness in highly regulated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safety-critical systems while adhering to established safety standards,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26262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risk mitigation.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investigations, facilitated root cause analyses, and implemented operational improvements based on findings, reinforcing a culture of continuous safety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discussions aimed at performance optimization, providing insights into project trajectories that aligned software capabilities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procedures to validate software performance under varying operational conditions, enhancing reliability and safety outcomes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development best practices and safety compliance, fostering an environment of learning and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debugging and troubleshooting techniques to resolve operational issues swiftly, minimizing potential disruptions to project timelines and operational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