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focusing on web and mobile applications. Proven expertise in model risk management, data analysis, model validation, and stakeholder collaboration. Skilled in Excel, Python, R, MATLAB, and SQL-based environments. Dedicated to implementing robust risk management practices while creating value through accurate modeling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MATLAB, SQL, SAS, VBA,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Modeling:</w:t>
      </w:r>
      <w:r w:rsidRPr="00745DD3">
        <w:rPr>
          <w:rFonts w:ascii="Roboto Light" w:eastAsia="Roboto Light" w:hAnsi="Roboto Light" w:cs="Roboto Light"/>
          <w:color w:val="404040" w:themeColor="text1" w:themeTint="BF"/>
          <w:sz w:val="20"/>
          <w:szCs w:val="20"/>
        </w:rPr>
        <w:t xml:space="preserve"> Excel, Power Query, Power Pivot, Matplotlib, Pandas, NumPy, SciPy,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Techniques:</w:t>
      </w:r>
      <w:r w:rsidRPr="00745DD3">
        <w:rPr>
          <w:rFonts w:ascii="Roboto Light" w:eastAsia="Roboto Light" w:hAnsi="Roboto Light" w:cs="Roboto Light"/>
          <w:color w:val="404040" w:themeColor="text1" w:themeTint="BF"/>
          <w:sz w:val="20"/>
          <w:szCs w:val="20"/>
        </w:rPr>
        <w:t xml:space="preserve"> Model Validation, Statistical Analysis, Predictive Modeling, Risk Assessments, Change Assessments, Control Testing, Documentation,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Software:</w:t>
      </w:r>
      <w:r w:rsidRPr="00745DD3">
        <w:rPr>
          <w:rFonts w:ascii="Roboto Light" w:eastAsia="Roboto Light" w:hAnsi="Roboto Light" w:cs="Roboto Light"/>
          <w:color w:val="404040" w:themeColor="text1" w:themeTint="BF"/>
          <w:sz w:val="20"/>
          <w:szCs w:val="20"/>
        </w:rPr>
        <w:t xml:space="preserve"> Archer, Git, JIRA, Confluence, Visual Studio, Eclipse, RStudio, Anaconda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and AI:</w:t>
      </w:r>
      <w:r w:rsidRPr="00745DD3">
        <w:rPr>
          <w:rFonts w:ascii="Roboto Light" w:eastAsia="Roboto Light" w:hAnsi="Roboto Light" w:cs="Roboto Light"/>
          <w:color w:val="404040" w:themeColor="text1" w:themeTint="BF"/>
          <w:sz w:val="20"/>
          <w:szCs w:val="20"/>
        </w:rPr>
        <w:t xml:space="preserve"> TensorFlow, Keras, SciKit-Learn, pyTorch, Deep Learning, Natural Language Processing, Regression Analysis, Classification Models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annual reviews of model effectiveness, providing reports that include risk assessments, regulatory compliance evaluations, and methodologies for improvement to support model risk management objectives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model developers and stakeholders to ensure all aspects of model documentation were accurate and up to the regulatory expectations, enhancing communication in risk management practices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detailed testing and validation frameworks for financial models to ensure robustness, accuracy, and operational integrity while maintaining compliance with federal regulations and standard industry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model owners and end-users on model risk management procedures and best practices, emphasizing critical frameworks and compliance requirements for effective model governance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ongoing monitoring of model performance and usage, providing timely assessments and corrective action plans to stakeholders while ensuring adherence to the MRM policies and analytical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the integrity of the model inventory by systematically reviewing model change assessments and ensuring that updates were documented and compliant with internal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statistical analysis protocols using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model performance metrics, enhancing department analytics processes that drive model risk insights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enterprise risk management teams, utilizing expertise in model validation to support risk oversight initiatives and business partner projects related to risk mitigation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reported on vendor model validations, ensuring that third-party risks were managed effectively while maintaining transparency in reporting and communication with senior management and other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and analytical tools like </w:t>
      </w:r>
      <w:r w:rsidRPr="00745DD3">
        <w:rPr>
          <w:rFonts w:ascii="Roboto Light" w:eastAsia="Roboto Light" w:hAnsi="Roboto Light" w:cs="Roboto Light"/>
          <w:b/>
          <w:bCs/>
          <w:color w:val="404040" w:themeColor="text1" w:themeTint="BF"/>
          <w:sz w:val="20"/>
          <w:szCs w:val="20"/>
        </w:rPr>
        <w:t xml:space="preserve">Power Pivot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compile data-driven insights for model evaluations, continuously refining methodologies that enhance decision-making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advisory services on model risk management practices, ensuring alignment with evolving regulatory standards and enhancing the sophistication of risk evaluation metrics across multiple financial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project management methodologies, I prioritized tasks effectively to ensure that model documentation and risk assessments were completed on schedule, which fostered a robust risk culture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seminars and training sessions to stay abreast of emerging trends in model risk management, enhancing professional development while applying newfound knowledge to existing models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regulatory updates related to model risk management, adjusting internal compliance strategies proactively to mitigate potential risks associated with non-compliance and fostering a culture of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improved risk assessment protocols, leveraging advanced statistical tools and techniques to ensure that models accurately reflect developed assumptions and external economic conditions.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software solutions focused on financial applications,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analytics tools that enhanced operational efficiency in banking and model risk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design and deliver scalable software systems, emphasizing robust architecture and integration with business intelligence frameworks to support regulatory compliance and model validations.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analysis tools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model performance data, improving clarity in reporting for stakeholders and enhancing strategic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documentation to ensure adherence to company standards, highlighting effective practices in software development methodologies across different teams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development methodologies, engaging in sprint planning and retrospective meetings that improved collaboration and efficiency in the software development lifecycle while ensuring timely model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rigorous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automated testing practices that reinforced accuracy and reliability in financial modeling applications and reduced overall project risk.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efforts for new employees in software engineering practices, focusing on model integration and compliance with model risk management frameworks that benefit team cohesion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model performance evaluations through comprehensive statistical analyses, using techniques and tools like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models met performance standards and regulatory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database management techniques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processes, streamlining data access for reporting and model performance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gather requirements and feedback on modeling tools, leveraging insights to optimize solutions that cater to end-user needs and enhance overall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training materials and user manuals on newly developed financial models, ensuring end-users could operate tools effectively while adhering to best practices in model risk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internal applications leveraging </w:t>
      </w:r>
      <w:r w:rsidRPr="00745DD3">
        <w:rPr>
          <w:rFonts w:ascii="Roboto Light" w:eastAsia="Roboto Light" w:hAnsi="Roboto Light" w:cs="Roboto Light"/>
          <w:b/>
          <w:bCs/>
          <w:color w:val="404040" w:themeColor="text1" w:themeTint="BF"/>
          <w:sz w:val="20"/>
          <w:szCs w:val="20"/>
        </w:rPr>
        <w:t xml:space="preserve">VBA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complex financial modeling tasks, fostering an environment of efficiency and empowering staff to focus on higher priority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