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over 11 years of experience in software development focusing on web and mobile applications. Proven expertise in Azure infrastructure, cloud security, and automation technologies. Committed to enhancing community safety through innovative solutions in public safety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Microsoft Azure, AWS, Azure Application Services,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PowerShell, Python, JavaScript,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and Security:</w:t>
      </w:r>
      <w:r w:rsidRPr="00745DD3">
        <w:rPr>
          <w:rFonts w:ascii="Roboto Light" w:eastAsia="Roboto Light" w:hAnsi="Roboto Light" w:cs="Roboto Light"/>
          <w:color w:val="404040" w:themeColor="text1" w:themeTint="BF"/>
          <w:sz w:val="20"/>
          <w:szCs w:val="20"/>
        </w:rPr>
        <w:t xml:space="preserve"> SaaS, Cloud Security, Microsoft SQL Server, Virtual Private Networking, Authentication/Authorization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xml:space="preserve"> DataDog Monitoring, Prometheus, Grafana, Loggly, ELK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Standards:</w:t>
      </w:r>
      <w:r w:rsidRPr="00745DD3">
        <w:rPr>
          <w:rFonts w:ascii="Roboto Light" w:eastAsia="Roboto Light" w:hAnsi="Roboto Light" w:cs="Roboto Light"/>
          <w:color w:val="404040" w:themeColor="text1" w:themeTint="BF"/>
          <w:sz w:val="20"/>
          <w:szCs w:val="20"/>
        </w:rPr>
        <w:t xml:space="preserve"> SOC 2, ISO 27001, NIST 800-53, GDPR, HIPAA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infrastructure deployment and management for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high availability and robust backup processes, which supported over 100 applications deployed in the cloud, improving operational resilience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the provisioning and configuration of over 50 Azure resources, streamlining development operations and enhancing efficiency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cloud security protocols aligned with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ISO 27001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standards, effectively reducing vulnerabilities and elevating the security posture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drive the adoption of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optimizing database performance while maintaining data integrity and security for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monitoring solutions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health metrics, significantly reducing downtime and enabling proactive maintenance practices through alert setups for team notifications.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customer site deployments for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creating seamless installation processes and offering tailored support, which improved customer satisfaction rates and user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team resources effectively, encouraging best practices within </w:t>
      </w:r>
      <w:r w:rsidRPr="00745DD3">
        <w:rPr>
          <w:rFonts w:ascii="Roboto Light" w:eastAsia="Roboto Light" w:hAnsi="Roboto Light" w:cs="Roboto Light"/>
          <w:b/>
          <w:bCs/>
          <w:color w:val="404040" w:themeColor="text1" w:themeTint="BF"/>
          <w:sz w:val="20"/>
          <w:szCs w:val="20"/>
        </w:rPr>
        <w:t xml:space="preserve">cloud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promoting secure coding standards, leading to a culture of accountability and continuous improvement in technology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migration strategies for transitioning legacy systems to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smooth transitions with minimal disruption to service delivery while enhancing system capabilities post-migration.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the use of </w:t>
      </w:r>
      <w:r w:rsidRPr="00745DD3">
        <w:rPr>
          <w:rFonts w:ascii="Roboto Light" w:eastAsia="Roboto Light" w:hAnsi="Roboto Light" w:cs="Roboto Light"/>
          <w:b/>
          <w:bCs/>
          <w:color w:val="404040" w:themeColor="text1" w:themeTint="BF"/>
          <w:sz w:val="20"/>
          <w:szCs w:val="20"/>
        </w:rPr>
        <w:t xml:space="preserve">Azure Application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junior engineers, fostering skill development and knowledge sharing crucial for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VPN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best practices for </w:t>
      </w:r>
      <w:r w:rsidRPr="00745DD3">
        <w:rPr>
          <w:rFonts w:ascii="Roboto Light" w:eastAsia="Roboto Light" w:hAnsi="Roboto Light" w:cs="Roboto Light"/>
          <w:b/>
          <w:bCs/>
          <w:color w:val="404040" w:themeColor="text1" w:themeTint="BF"/>
          <w:sz w:val="20"/>
          <w:szCs w:val="20"/>
        </w:rPr>
        <w:t xml:space="preserve">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Authorization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securing cloud access points and ensuring compliance with internal policies and external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performance metrics, leveraging insights to improve infrastructure configurations, scale resources dynamically, and enhance the user experience for all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response initiatives, utilizing penetration testing tools to identify potential vulnerabilities within cloud environments and address them proactively as part of a continuous security effort.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align technology solutions with business goals, ensuring clear communication and comprehensive project tracking throughout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deployment strategies in both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on-premises settings, effectively bridging gaps and ensuring a cohesive approach to using technology across various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updated technical documentation regularly, ensuring alignment with best practices and providing support to user teams during onboarding and training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cloud-hosted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performance metrics to ensure optimal functionality in diverse user environments and increasing reliability for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lifecycles, focusing on integrating </w:t>
      </w:r>
      <w:r w:rsidRPr="00745DD3">
        <w:rPr>
          <w:rFonts w:ascii="Roboto Light" w:eastAsia="Roboto Light" w:hAnsi="Roboto Light" w:cs="Roboto Light"/>
          <w:b/>
          <w:bCs/>
          <w:color w:val="404040" w:themeColor="text1" w:themeTint="BF"/>
          <w:sz w:val="20"/>
          <w:szCs w:val="20"/>
        </w:rPr>
        <w:t xml:space="preserve">Azure Application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fostered agile deployment and enhanced the continuous delivery capabilities of cloud-based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PowerShell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deployment tasks and service management in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enhancing efficiency and reducing manual errors in operational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measures in application development following </w:t>
      </w:r>
      <w:r w:rsidRPr="00745DD3">
        <w:rPr>
          <w:rFonts w:ascii="Roboto Light" w:eastAsia="Roboto Light" w:hAnsi="Roboto Light" w:cs="Roboto Light"/>
          <w:b/>
          <w:bCs/>
          <w:color w:val="404040" w:themeColor="text1" w:themeTint="BF"/>
          <w:sz w:val="20"/>
          <w:szCs w:val="20"/>
        </w:rPr>
        <w:t xml:space="preserve">NIST 800-53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improving risk management and compliance for cloud applications while improving client confidence in data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design, query, and maintain databases, enhancing data throughput and reducing response times in data-driven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collaboration to align database architectures with application needs, fostering a culture of cooperation that emphasized innovative problem-solving and shared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rollout of monitoring and alerting frameworks using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the team with real-time data insights and improved incident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daily stand-ups and sprint planning sessions, contributing insights related to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landscape, which aided in developing comprehensive technological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code quality through code reviews and fostering mentorship among junior developers, which promoted a more knowledgeable and skilled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through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resource management, reducing provisioning times, and contributing to team goals for faster deployments and configurations.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for data retention and management policies in alignment with compliance standards, thus promoting ethical handling of client data and fortifying the organization’s reputation.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extensive documentation for infrastructure procedures, thereby improving team knowledge transfer and supporting the onboarding of new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