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designing and implementing cloud-native architectures and secure infrastructures, specializing in Kubernetes, CI/CD, and DevSecOps practices for government clients. Proven track record in automation, security compliance, and mentoring teams in advanced cloud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CloudFormation, Spectro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OpenShift, Helm, K8s Networking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Ansible, Pulumi, GitLab CI,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Go, PowerShell,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STIGs, RMF, NIST, DoD Security, IAT Level II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secure,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infrastructures tailored for government clients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automation, ensuring effective alignment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for continuous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cross-functional client teams on cloud adoption strategies, specifically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modernization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migration to secure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using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automation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streamlining infrastructure operations and enhancing the agility of deployment workflows across multi-cloud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ensured compliance with stringent cybersecurity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STIG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RMF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proactively identifying potential security risks and providing solutions to maintain compliance in both classified and unclassified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troubleshooting and performance tuning across complex distributed systems, employing predictive monitoring tools and methodologies to enhance system reliability and mitigate operational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teams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operations, focusing on automation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ArgoCD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learning and innovative mindset among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hybrid cloud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VMware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Windows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effectively bridging traditional systems with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 to support diverse customer needs and operational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high-level assessments of client environments, implementing tailored migration strategies to adopt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while ensuring adherence to security and performance benchmarks.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teams to implement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deployment frequency and reducing time to market for new applications and services offered to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knowledge sharing sessions with stakeholders to enhance understanding of future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the adoption of emerging technologies relevant to hybrid infrastructures.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experiences through intuitive interfaces and enabling seamless interaction with backend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security teams to implement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embedding security milestones and checklists into the deployment pipelines to uphold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compliance standards and related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transition of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architectures, engaging stakeholders in discussions to align technical solutions with evolving business goals and best industry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automation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manual intervention while enhancing efficiency in system deployments and configuration management across various project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comprehensive code reviews and provided constructive feedback to peers, fostering a culture of collaboration and excellence in code quality while adhering to industry standards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