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developing high-quality web and mobile applications. Proficient in a broad range of technologies including React, Node.js, SQL, and Redis, aiming to innovate in the podcasting industry at Zencastr.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Flask,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SQL, Redis, Firebase, Amazon Aurora,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Docker, Kubernetes, Firebase Hosting, Digital 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Webpack, Babel,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optimized performance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while adhering to agile methodologies and promoting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cloud infrastructure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 while reducing operational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data modeling strategies to improve application performance and reduce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exchange and integration between front-end and back-end systems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identified, diagnosed, and resolved production issues, ensuring high availability and optimal performance while adapting to fast-changing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developers, fostering a culture of continuous improvement and learning that enhances the overall team’s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that significantly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scaling and management across the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for iterative development cycles, enhancing product features and user satisfaction through direct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monitor user engagement and application performance metrics, using insights to make data-driven decisions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libraries, contributing to better data representation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hackathons to explore innovative solutions, demonstrating adaptability, creativity, and teamwork in technological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that improved overall deployment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attending industry conferences and training on emerging technologies related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for performance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consistently in agile team environments, participating in sprint planning and retrospectives to enhance team dynamics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integrating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engaging and accessible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client-side issues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performance metrics through efficient resource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services for secure and effective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collect requirements and design tailored software solutions, establishing long-term relationships based on trust and delivery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SQL for robust database management and data retrieval operations, influencing the design of scalable database models that supported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for knowledge sharing on modern web technologies, encouraging innovation and adoption of best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in application development, adhering to standards like OWASP to ensure user data protection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integrating modern APIs and microservices while ensuring backwards compatibility and reliability in transitional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using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visibility and reactive support for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technological advancements and project outcomes to stakeholders, enhancing transparency and trust through effective communication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