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robust web and mobile applications. Proven expertise in React and TypeScript, along with a strong ability to adapt quickly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SQL, Node.js,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Package Managers: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Gulp,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across various devices and platforms while adhering to modern web standards and best practices for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create engaging and intuitive UI features that addressed user needs,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cleaner code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for multiple high-impact projects in a startup environment, focusing on rapid iteration and deployment while following agile methodologies for project management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and front-end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development processes and consistency across applications, while documenting component usage guidelines for team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with a focus on skill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application states efficiently, improving performance and enhancing the user experience through effective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React components, ensuring code quality and reliability through comprehensive test coverage and maintaining a robust CI/CD pipeline for frequent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enhancing app functionality while ensuring secure data handling practices in compliance with industry standards and regulations for software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identify challenges in product scalability and user engagement, using technical expertise to propose solutions that align with business objectives and improve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best practices in code splitting and lazy loading, minimizing load times and enhancing overall user experience through strategic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demonstrating adaptability within a fast-paced development cycle and effectively prioritizing tasks to align with evolving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interactive and responsive web applications at Microsoft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development of features aimed at enhancing user engagement and satisfaction in various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analyze and define product requirements, translating client needs into technical specifications while maintaining clear and effective communication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techniques such as lazy loading, code splitting, and investigating potential bottlenecks in destined issues, ensuring seamless user experiences across different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standards prior to production releases, addressing potential issues early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effectively, implementing branching strategies to handle collaborative development efforts, thus reducing the risk of code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responsive design techniques to create visually appealing interfaces that function effectively on multiple devices, ensuring compliance with accessibility standards for enhanced user inclusivity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efficient coding practices and innovative software solutions, encouraging knowledge sharing and fostering an inclusive environment for growth and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in code reviews, focusing on best practices for writing maintainable and scalable code, ultimately improving overall product quality and team efficiency for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stand-ups, helping to facilitate efficient communication between team members and ensuring alignment with project goals as responsibilities evolved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investigated and integrated new technologies to enhance the platform's functionality and user interface, staying up-to-date with industry trends to keep the product competitive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