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focusing on web and mobile applications. Expert in ServiceNow architecture, driving innovation, governance, and aligning technology strategy with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ServiceNow, Node.js, React, Angular, Express.js,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SQL Server, MongoDB, PostgreSQL, Redis,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Tools:</w:t>
      </w:r>
      <w:r w:rsidRPr="00745DD3">
        <w:rPr>
          <w:rFonts w:ascii="Roboto Light" w:eastAsia="Roboto Light" w:hAnsi="Roboto Light" w:cs="Roboto Light"/>
          <w:color w:val="404040" w:themeColor="text1" w:themeTint="BF"/>
          <w:sz w:val="20"/>
          <w:szCs w:val="20"/>
        </w:rPr>
        <w:t xml:space="preserve"> REST, SOAP, JDBC,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Serverless, Enterprise Architecture, Event-Driven Architecture, API Management,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w:t>
      </w:r>
      <w:r w:rsidRPr="00745DD3">
        <w:rPr>
          <w:rFonts w:ascii="Roboto Light" w:eastAsia="Roboto Light" w:hAnsi="Roboto Light" w:cs="Roboto Light"/>
          <w:color w:val="404040" w:themeColor="text1" w:themeTint="BF"/>
          <w:sz w:val="20"/>
          <w:szCs w:val="20"/>
        </w:rPr>
        <w:t xml:space="preserve"> Jest, Mocha, JUnit,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enterprise-level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facilitating scalability and optimizing processes across multiple business domains to enhance operational efficiency and integration with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w:t>
      </w:r>
      <w:r w:rsidRPr="00745DD3">
        <w:rPr>
          <w:rFonts w:ascii="Roboto Light" w:eastAsia="Roboto Light" w:hAnsi="Roboto Light" w:cs="Roboto Light"/>
          <w:b/>
          <w:bCs/>
          <w:color w:val="404040" w:themeColor="text1" w:themeTint="BF"/>
          <w:sz w:val="20"/>
          <w:szCs w:val="20"/>
        </w:rPr>
        <w:t xml:space="preserve">Enterprise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with business goals, ensuring a customer-centric approach that emphasizes adaptability and agile methodologies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enforced architectural standards and governance for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including </w:t>
      </w:r>
      <w:r w:rsidRPr="00745DD3">
        <w:rPr>
          <w:rFonts w:ascii="Roboto Light" w:eastAsia="Roboto Light" w:hAnsi="Roboto Light" w:cs="Roboto Light"/>
          <w:b/>
          <w:bCs/>
          <w:color w:val="404040" w:themeColor="text1" w:themeTint="BF"/>
          <w:sz w:val="20"/>
          <w:szCs w:val="20"/>
        </w:rPr>
        <w:t xml:space="preserve">ITOM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ITBM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HRSD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more, enhancing their functionality and compliance with enterprise-level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architectural guidance and leadership on large-scale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ensuring technical designs met security, data integrity, and upgradeability requirements across integrated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reference architectures and reusable frameworks for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empowering engineering teams to deliver high-quality implementations efficiently while fostering a collaborative technical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space, instilling best practices in solution design and enhancing team skillsets through knowledge sharing and collaborative learning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and emerging technologies relevant to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innovative solutions such as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to drive process improvement and increased service delivery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multi-instance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that align with business objectives, optimizing cost-efficiency while maintaining high standards of performance and scalability across different organizational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 strategies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ensuring seamless data flow between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enterprise systems, enhancing overall data governance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workshops to gather requirements and present architectural recommendations, ensuring alignment between technical solutions and business needs while promoting transparent communication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new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releases, conducting training sessions that empowered stakeholders and end-users to leverage the platform's full potential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complementary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IT landscape and promoting a cohesive ecosystem around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enterprise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governance strategies ensuring compliance with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in projects, enhancing privacy and security initiatives within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environment practicing </w:t>
      </w:r>
      <w:r w:rsidRPr="00745DD3">
        <w:rPr>
          <w:rFonts w:ascii="Roboto Light" w:eastAsia="Roboto Light" w:hAnsi="Roboto Light" w:cs="Roboto Light"/>
          <w:b/>
          <w:bCs/>
          <w:color w:val="404040" w:themeColor="text1" w:themeTint="BF"/>
          <w:sz w:val="20"/>
          <w:szCs w:val="20"/>
        </w:rPr>
        <w:t xml:space="preserve">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sprint planning and retrospectives that focused on continuous improvement and enhanced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Performance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from data, enabling informed decision-making and strategic initiatives based on comprehensive reporting.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high-performing enterprise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architectural guidelines and best practices in system design and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leverage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capabilities and promoting scalability across integrated solutions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in enterprise applications that prioritized data integrity through hands-on experience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integration solutions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seamless communication between various applications, enhancing user experience and system interoperability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to create functional specifications for enterprise applications that are aligned with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core offerings and customer value propositions.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code walkthroughs that emphasized collaborative feedback, ensuring high-quality output while adhering to standards of software development and engineering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application features, architecture, and maintenance protocols to facilitate future enhancements and ease of understanding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applications built are reliable and maintainable, leading to better long-term performance and reduction in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emerging technologies and development frameworks, which enhanced team productivity and fostered an environment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deliver high-impact software solutions on time, constantly iterating based on user feedback and shifting project requirements, optimizing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to streamline workflows utilizing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reducing operational overhead and enhancing productivity within teams para.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architecture and implementation of cloud-based applications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and management processes through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