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web and mobile applications. Proven track record in leading distributed engineering teams, driving tech innovation with AI, implementing best practices, and delivering healthcare solutions. Passionate about transforming digital health through cutting-edge technology while ensuring compliance and quality across products.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Next.js, Django, Flask, Node.js, TailwindCSS,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MongoDB, Firebase, Supabase,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 Tools:</w:t>
      </w:r>
      <w:r w:rsidRPr="00745DD3">
        <w:rPr>
          <w:rFonts w:ascii="Roboto Light" w:eastAsia="Roboto Light" w:hAnsi="Roboto Light" w:cs="Roboto Light"/>
          <w:color w:val="404040" w:themeColor="text1" w:themeTint="BF"/>
          <w:sz w:val="20"/>
          <w:szCs w:val="20"/>
        </w:rPr>
        <w:t xml:space="preserve"> Docker, Kubernetes, GitHub Actions, AWS,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Healthcare &amp; Integration Standards:</w:t>
      </w:r>
      <w:r w:rsidRPr="00745DD3">
        <w:rPr>
          <w:rFonts w:ascii="Roboto Light" w:eastAsia="Roboto Light" w:hAnsi="Roboto Light" w:cs="Roboto Light"/>
          <w:color w:val="404040" w:themeColor="text1" w:themeTint="BF"/>
          <w:sz w:val="20"/>
          <w:szCs w:val="20"/>
        </w:rPr>
        <w:t xml:space="preserve"> FHIR, HL7, Epic, Cerner, SOA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Development Tools:</w:t>
      </w:r>
      <w:r w:rsidRPr="00745DD3">
        <w:rPr>
          <w:rFonts w:ascii="Roboto Light" w:eastAsia="Roboto Light" w:hAnsi="Roboto Light" w:cs="Roboto Light"/>
          <w:color w:val="404040" w:themeColor="text1" w:themeTint="BF"/>
          <w:sz w:val="20"/>
          <w:szCs w:val="20"/>
        </w:rPr>
        <w:t xml:space="preserve"> ChatGPT, Claude AI, v0.dev, Cursor, n8n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engineering team at ivision in developing next-generation healthcare solutions, fostering a culture of ownership, high quality, and continuous improvement through regular mentoring and feedback mechanisms in a remote-first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technical roadmaps in collaboration with product management, prioritizing feature development aligned with complex healthcare requirements, and successfully delivering scalable solutions from conception to production, enhancing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 globally distributed engineering team by facilitating effective communication and collaboration across diverse cultures and time zones, ensuring team alignment and productivity in fast-paced project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full-stack development for various web and mobile platforms, ensuring robust architectures compliant with healthcare standards, and driving the adoption of AI-powered tools that improved development processes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implementation of healthcare integrations and interoperability standards, collaborating with clinicians to understand workflows, which led to successful product launches meeting end-user expectations for a seamless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enforced best practices for coding standards and testing protocols across the engineering team, raising the overall quality of deliverables in adherence to healthcare compliance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emerging technologies and trends in healthcare digital therapeutics, integrating relevant solutions into product development to maintain a competitive edge in the rapidly evolving healthcare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implementation of low-code/no-code solutions for various internal processes, significantly reducing development times while enhancing team productivity in meeting project deadlines and milestones.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collaboration with design, clinical, and other engineering teams to address complex technical challenges, ensuring that requirements were translated accurately into implementable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strong ownership mentality across the engineering teams by encouraging proactive problem-solving behaviors and the development of innovative solutions to overcome project hurdles and meeting deadlines.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modern web technologies to build scalable applications that support millions of users in accessing mental health services, aligning with the organization’s mission to improve mental health care access.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mindset of continuous learning in the team by encouraging participation in workshops and professional development events, helping engineers stay updated with industry best practices and emerging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security measures and compliance checks that adhered to HIPAA regulations while developing healthcare applications, which further strengthened the company’s reputation in the healthcare technology space.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feedback loops from users and stakeholders, employing Agile practices to refine product features rapidly based on user insights and shifting market demands, leading to faster iteration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analytics tools in our applications to track user engagement and effectiveness of the digital therapeutic solutions, providing actionable insights to continuously improve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ensuring robust architectures while collaborating closely with product managers to define technical roadmaps and prioritize new features for dynamic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manage APIs and improve backend services, ensuring seamless integration with various third-party applications while staying within regulatory compliance like HIPAA and SOC2.</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transitioning legacy applications to microservices architecture, significantly improving deployment processes, performance metrics, and the capacity to handle increased loads in enterprise-level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enhance product scalability, implementing CI/CD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workflows, leading to improved delivery timelines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fostering an environment of open communication within the team to discuss obstacles and share knowledge effectively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coding standards and best practices, building a supportive learning environment that encouraged technical growth and the sharing of knowledge throughout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and code review processes, enhancing the quality of deliverables and ensuring that development adhered to high-performance and reliability benchmarks.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innovative hackathons to encourage teamwork and creativity within the engineering department, resulting in several successful side projects that improved internal processes and employee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UX designers to create user-centric applications paving ways for high user satisfaction and engagement through intuitive navigation and aesthetics.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partners to enable integration of new technologies into existing products, ensuring that contemporary solutions could coexist seamlessly with legacy systems while improving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quality reviews and recommended architectural patterns, which enhanced code maintainability, reduced technical debt, and promoted reusability of components across multiple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conferences and workshops, sharing insights from projects and learning about industry advancements that could be effectively applied to ongoing development efforts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