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developing and managing web applications and systems, specializing in Drupal, cloud engineering, and user-centric designs for government clients. Proven ability to lead multidisciplinary teams, integrate cutting-edge technologies, and ensure compliance with federal standards while delivering high-quality, accessible, and secure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Symfony, React, Angular,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Standards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Section 508, US Web Design System, WCAG, JSON,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management of a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unemployment insurance claims platform,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Section 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federal standards for accessibility and security. 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translate user research into actionable requirements, driving improvements in user experience and accessibility across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Login.gov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id.me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for secure user authentication, enhancing the platform's ability to streamline identity verification processes and improve claim submission efficiency while ensuring compliance with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tools to automate requirements gathering and support development processes, reducing manual input and accelerating the delivery of features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while enhancing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design and implementation of user registration, authentication, and access control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various backend services, ensuring a robust and secure user management system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automated testing and deployment, ensuring rapid and reliable delivery of enhancements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while minimizing downtime for users. Engaged with cross-functional teams to ensure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quality assurance evaluations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standards, collaborating with stakeholders to remediate identified vulnerabilities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strategic technology recommendations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managers, advocating for the adoption of emerging technologies within the organization to enhance the overall infrastructure and future-proof the web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iterative agile development practices, fostering a collaborative environment among developers and stakeholders to continuously refine project deliverables based on user feedback and performance metrics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and contributed to custom module development, optimizing functionality and performance of the platform in line with best practices for web standards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federal program managers to assess project requirements and articulate the development strategy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ensuring alignment with broader agency goals and priorities.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architecture that supports integration with public-facing interfaces while adhering to best practices in web security and user data protection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through the application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a seamless user interface while ensuring the backend properly processes state management with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performance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application meets usability and responsiveness standards, thereby improving user trust and satisfaction with the service provided by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reinforcing the importance of adherence to coding standards, security best practices, and effective use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focused on federal compliance, contributing to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C&amp;A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privacy assessments, and emerging technology trends that influence application development decisions for government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