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data engineering leader with over 11 years of experience in software development, specializing in web and mobile applications. Expertise in building unified data organizations and leading team modernization efforts. Proven ability to drive innovation and enhance business value through advanced data architectures and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Go, R, Rust,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AWS Redshift, Google BigQuery, Apache Spark, Flink, Kafka, FiveTran, dbt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and Analytics:</w:t>
      </w:r>
      <w:r w:rsidRPr="00745DD3">
        <w:rPr>
          <w:rFonts w:ascii="Roboto Light" w:eastAsia="Roboto Light" w:hAnsi="Roboto Light" w:cs="Roboto Light"/>
          <w:color w:val="404040" w:themeColor="text1" w:themeTint="BF"/>
          <w:sz w:val="20"/>
          <w:szCs w:val="20"/>
        </w:rPr>
        <w:t xml:space="preserve"> Power BI, Tableau, Looker, QlikView, Metabase, D3.js, R Shiny,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Monte Carlo, BigEye, TensorFlow, Kubernetes, Docker, Terraform, Jupyter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Governance, Data Modeling, Semantic Layers, Metadata Management, Data Quality, Data Integration, Data Observability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transformation and modernization of multiple data teams by implementing a robust integrated data infrastructure, leveraging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establishment of a unified data organization, promoting collaboration among data engineering, product teams, and business stakeholders, resulting in significant improvements in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the development of a culture of </w:t>
      </w:r>
      <w:r w:rsidRPr="00745DD3">
        <w:rPr>
          <w:rFonts w:ascii="Roboto Light" w:eastAsia="Roboto Light" w:hAnsi="Roboto Light" w:cs="Roboto Light"/>
          <w:b/>
          <w:bCs/>
          <w:color w:val="404040" w:themeColor="text1" w:themeTint="BF"/>
          <w:sz w:val="20"/>
          <w:szCs w:val="20"/>
        </w:rPr>
        <w:t xml:space="preserve">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foundational principle within data engineering, emphasizing rigorous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thorough testing methodologies to build trust in our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emerging leaders within the organization, instilling a mindset of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empowerment, and accountability across data engineering teams to enhance operational excellence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leading cross-functional initiatives, collaborating with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identify and capitalize on opportunities to deliver </w:t>
      </w:r>
      <w:r w:rsidRPr="00745DD3">
        <w:rPr>
          <w:rFonts w:ascii="Roboto Light" w:eastAsia="Roboto Light" w:hAnsi="Roboto Light" w:cs="Roboto Light"/>
          <w:b/>
          <w:bCs/>
          <w:color w:val="404040" w:themeColor="text1" w:themeTint="BF"/>
          <w:sz w:val="20"/>
          <w:szCs w:val="20"/>
        </w:rPr>
        <w:t xml:space="preserve">strategic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cloud migration strategies by architecting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transitions of existing platforms to modern, cloud-based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partnerships with external consulting firms during large-scale data initiatives, guiding </w:t>
      </w:r>
      <w:r w:rsidRPr="00745DD3">
        <w:rPr>
          <w:rFonts w:ascii="Roboto Light" w:eastAsia="Roboto Light" w:hAnsi="Roboto Light" w:cs="Roboto Light"/>
          <w:b/>
          <w:bCs/>
          <w:color w:val="404040" w:themeColor="text1" w:themeTint="BF"/>
          <w:sz w:val="20"/>
          <w:szCs w:val="20"/>
        </w:rPr>
        <w:t xml:space="preserve">transformation efforts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alignment with industry best practices and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processes utilizing tools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data workflows, ensuring timely and accurate data delivery to end-users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advanced data solutions, such as </w:t>
      </w:r>
      <w:r w:rsidRPr="00745DD3">
        <w:rPr>
          <w:rFonts w:ascii="Roboto Light" w:eastAsia="Roboto Light" w:hAnsi="Roboto Light" w:cs="Roboto Light"/>
          <w:b/>
          <w:bCs/>
          <w:color w:val="404040" w:themeColor="text1" w:themeTint="BF"/>
          <w:sz w:val="20"/>
          <w:szCs w:val="20"/>
        </w:rPr>
        <w:t xml:space="preserve">Data 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monitor and ensure the health of data pipelines, leading to enhanced data integrity and accessibility.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established best practices for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ensuring robust data ingestion frameworks that support diverse analytical needs across the organization’s various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enhancement of existing reporting systems by integrating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richer and more interactive visual analytics experiences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that contributed to the organization's competitive edge, leveraging cutting-edge technologies and frameworks that empower analysts and stakeholders with </w:t>
      </w:r>
      <w:r w:rsidRPr="00745DD3">
        <w:rPr>
          <w:rFonts w:ascii="Roboto Light" w:eastAsia="Roboto Light" w:hAnsi="Roboto Light" w:cs="Roboto Light"/>
          <w:b/>
          <w:bCs/>
          <w:color w:val="404040" w:themeColor="text1" w:themeTint="BF"/>
          <w:sz w:val="20"/>
          <w:szCs w:val="20"/>
        </w:rPr>
        <w:t xml:space="preserve">real-time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culture of collaboration by promoting partnerships between data and software engineering teams to foster joint accountability for comprehensive data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strategic alignment of data initiatives with business goals, contributing to an agro-business level </w:t>
      </w:r>
      <w:r w:rsidRPr="00745DD3">
        <w:rPr>
          <w:rFonts w:ascii="Roboto Light" w:eastAsia="Roboto Light" w:hAnsi="Roboto Light" w:cs="Roboto Light"/>
          <w:b/>
          <w:bCs/>
          <w:color w:val="404040" w:themeColor="text1" w:themeTint="BF"/>
          <w:sz w:val="20"/>
          <w:szCs w:val="20"/>
        </w:rPr>
        <w:t xml:space="preserve">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operational effectiveness and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programs that upskilled team members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their technical competencies and boosting overall team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large-scale data integration systems at Microsoft, utilizing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streamline data flow across diverse platforms and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enterprise-level data solutions, focusing on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frameworks that enabled compliance with rigorous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and product teams to develop analytics features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actionable insights that informed product development and client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analysis and modeling, building machine learning models that facilitated predictive analytics and improved decision-making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data visualization solutions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data literacy among stakeholders and facilitating better data-driven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migration of legacy systems to scalable architectures including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technical strategy with evolving business requirements and enhancing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that emphasized data quality management, integrating tools for observability and monitoring to identify anomalies in data pipelines early in the ETL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cross-team collaborations to develop centralized data repositories and frameworks, fostering integration and ensuring reliable access to data resources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Instilled a focus on stakeholder engagement and usability by gathering requirements for analytics capabilities, ensuring alignment with business objectives during project scoping and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through the use of modern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service-oriented architectures, ensuring timely and reliable data access for reporting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benchmarked emerging technologies and tools that could provide competitive advantages in data handling and processing tasks, recommending suitable solutions based on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rapidly evolving culture by promoting agility principles within teams, empowering them to quickly adapt to changing business demands and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