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data engineering and analytics. Proven expertise in designing scalable data pipelines and implementing effective data ingestion frameworks using modern tools and technologies such as Python, Apache Spark, Databricks,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Databricks, Delta Lake, AWS Glue, Kafka, Airflow,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PostgreSQL, MySQL, Redshift, Snowflake, MongoDB, Azure Synapse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S3, Lambda,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Unity Catalog, dbt, Data Mesh, Data Lake, Data Lineage, Testing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 ingestion frameworks to handle real-time streaming and batch processing,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data pipelines, focusing on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various data sources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APIs to streamline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analytics engineers and data scientists to deliver high-quality data solutions, instilling a culture of craftsmanship and pragmatic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big data workloads and enforce data quality and governance throughout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 and encryption measures to safeguard sensitive data while ensuring compliance with industry standards and organizational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diversified team knowledge in best practices for building efficient data pipelines and promoting collaboration across 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CI/CD pipelines to facilitate fast, efficient deployments of data processing jobs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to validate data quality and lineage using modern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governance strategies across large data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data requirements and translate them into technical solutions that address business challenges while leveraging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development workflows and improving deployment times for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modern data architectures to propose innovative solutions for processing and storing vast datasets while emphasizing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data technologies and methodologies, maintaining a mindset of continuous improvement and exploring new approaches to enhance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to discuss design patterns, architectural strategies, and project roadmaps, ensuring alignment with organizational goals and collaborative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trends in data engineering, such as </w:t>
      </w:r>
      <w:r w:rsidRPr="00745DD3">
        <w:rPr>
          <w:rFonts w:ascii="Roboto Light" w:eastAsia="Roboto Light" w:hAnsi="Roboto Light" w:cs="Roboto Light"/>
          <w:b/>
          <w:bCs/>
          <w:color w:val="404040" w:themeColor="text1" w:themeTint="BF"/>
          <w:sz w:val="20"/>
          <w:szCs w:val="20"/>
        </w:rPr>
        <w:t xml:space="preserve">Data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architectural decisions aimed at decentralizing data ownership and enhancing domain-oriented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to foster an environment of collaboration, learning, and high-quality software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features and supported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consistent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connect various applications and enable data sharing between systems, enhancing application interoperability and data accessibility for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promoting a high level of communication and cooperation to maintain project timelines and deliver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confidently in software development life cycles, contributing to iterative and incremental delivery of application features while adapting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Extensively utilized SQL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persistent data storage solutions, ensuring data integrity and performance efficiency when accessing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for mission-critical applications, reinforcing software reliability and performance while minimizing deployment issues afterward.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code bases and project requirements, enhancing team onboarding and knowledge sharing across technical staff members, ensuring seamless transitions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system design and infrastructure improvements, leveraging past experiences to drive innovative solutions that align with enterprise-wide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enabling collaboration across teams while tracking changes to codebases and ensuring clean project histories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demonstrations to stakeholders and team members to communicate application capabilities and promote understanding of functionality, easing adoption and software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libraries and frameworks, providing reusable components and tools enhancing team productivity and maintaining consistency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