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expertise in software development, specializing in web and mobile applications. Proven ability to design and implement scalable data solutions, optimize data pipelines, and drive AI integration in finance. Excels in collaborative environments, demonstrating strong ownership and adaptability in addressing complex data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Kafka, Apache Beam,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pgvector, Pinecone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Apache Airflow, Talend, Informatica, AWS Glue,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BI Tools:</w:t>
      </w:r>
      <w:r w:rsidRPr="00745DD3">
        <w:rPr>
          <w:rFonts w:ascii="Roboto Light" w:eastAsia="Roboto Light" w:hAnsi="Roboto Light" w:cs="Roboto Light"/>
          <w:color w:val="404040" w:themeColor="text1" w:themeTint="BF"/>
          <w:sz w:val="20"/>
          <w:szCs w:val="20"/>
        </w:rPr>
        <w:t xml:space="preserve"> Tableau, Power BI, Looker, Grafana, Metabase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ETL pipelines to ingest and preprocess both structured and unstructured data, ensuring data integrity and effective real-time processing in line with business intelligence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understand data needs and requirements, driving efficient implementation of data solutions that supported product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ingestion systems for semi-structured data formats including JSON and XML, utilizing robust error monitoring and alerting mechanisms to mitigate data pipeline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relational and vector databases to support complex querying and analysis, employing advanced indexing techniques to improve data retrieval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 quality checks and validations to ensure compliance with industry standards, fortifying the security of sensitive consumer and institutional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leveraged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transformations, optimizing job scheduling and performance to accommodate growing data volumes and analytical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schema inference processes, improving the efficiency of data ingestion workflows and reducing the time required for data handoff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scalability and reliability of ETL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and training initiatives to cultivate best practices in data engineering, fostering a culture of quality and performance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for pipeline configurations and data workflows, ensuring clarity and consistency in project handoffs and knowledge sharing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data governance protocols that adhered to regulatory requirements, fostering customer trust through rigorous data privacy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methodologies, proposing strategic enhancements to existing data platforms to remain at the forefront of innovation in financial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advanced data enrichment techniques and analytics capabilities, driving actionable insights for stakeholders and management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ETL processes with performance tuning and cost management strategies, enhancing the overall operational efficiency of the data engineering function.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code reviews and contributed to establishing a code quality standard that promoted collaboration and knowledge sharing among peers.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features for enterprise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modern SPA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engaging user experiences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microservice architecture initiatives, enhancing application scalability and maintainability through effective use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as well as message broker patterns like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identification and resolution of application performance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business requirements into technical specifications by collaborating closely with product teams, ensuring clarity and alignment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build and deployment process through the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automation tools, enhancing the reliability and speed of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sharing knowledge of best practices in software design and programming principles to uplift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and development activities across various teams, fostering a culture of continuous learning related to software engineering methodologies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proactive performance optimization initiatives, leading to significant improvements in application responsiveness and efficiency through code refactoring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acceptance testing and validation to ensure the functional correctness of applications in staging environments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diverse database technologies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data integrity and security protocols while supporting robust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cultivate best practices in software engineering, leveraging team feedback to evolve development approaches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methodologies, ensuring rapid iteration and continuous delivery of enhancements based on stakeholder feedback and changing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