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cybersecurity and incident response. Proven ability to enhance security measures and recovery processes, leveraging strong technical expertise in modern technologies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PowerShell, JavaScript, Ruby, C++,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xml:space="preserve"> Palo Alto, Cisco ASA, Fortinet, Firewalls, Intrusion Detection Systems, Incident Response, Network Monitoring, Vulnerability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Administration:</w:t>
      </w:r>
      <w:r w:rsidRPr="00745DD3">
        <w:rPr>
          <w:rFonts w:ascii="Roboto Light" w:eastAsia="Roboto Light" w:hAnsi="Roboto Light" w:cs="Roboto Light"/>
          <w:color w:val="404040" w:themeColor="text1" w:themeTint="BF"/>
          <w:sz w:val="20"/>
          <w:szCs w:val="20"/>
        </w:rPr>
        <w:t xml:space="preserve"> Linux, Windows, OSX, VMware, Virtual Machines, Cloud Services, Active Directory, Backup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Tools:</w:t>
      </w:r>
      <w:r w:rsidRPr="00745DD3">
        <w:rPr>
          <w:rFonts w:ascii="Roboto Light" w:eastAsia="Roboto Light" w:hAnsi="Roboto Light" w:cs="Roboto Light"/>
          <w:color w:val="404040" w:themeColor="text1" w:themeTint="BF"/>
          <w:sz w:val="20"/>
          <w:szCs w:val="20"/>
        </w:rPr>
        <w:t xml:space="preserve"> Splunk, Wireshark, Nessus, Metasploit, Forensic Tools, Cloud Security Posture, Threat Intelligence, Endpoint Detection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Node.js, Angular, Bootstrap, Express.js,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complexity of </w:t>
      </w:r>
      <w:r w:rsidRPr="00745DD3">
        <w:rPr>
          <w:rFonts w:ascii="Roboto Light" w:eastAsia="Roboto Light" w:hAnsi="Roboto Light" w:cs="Roboto Light"/>
          <w:b/>
          <w:bCs/>
          <w:color w:val="404040" w:themeColor="text1" w:themeTint="BF"/>
          <w:sz w:val="20"/>
          <w:szCs w:val="20"/>
        </w:rPr>
        <w:t xml:space="preserve">cybersecurity 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by developing and implementing stringent strategies to enhance the effectiveness of the </w:t>
      </w:r>
      <w:r w:rsidRPr="00745DD3">
        <w:rPr>
          <w:rFonts w:ascii="Roboto Light" w:eastAsia="Roboto Light" w:hAnsi="Roboto Light" w:cs="Roboto Light"/>
          <w:b/>
          <w:bCs/>
          <w:color w:val="404040" w:themeColor="text1" w:themeTint="BF"/>
          <w:sz w:val="20"/>
          <w:szCs w:val="20"/>
        </w:rPr>
        <w:t xml:space="preserve">Response &amp; Recovery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handling diverse threat scenarios across client networks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post-breach activities, including comprehensive </w:t>
      </w:r>
      <w:r w:rsidRPr="00745DD3">
        <w:rPr>
          <w:rFonts w:ascii="Roboto Light" w:eastAsia="Roboto Light" w:hAnsi="Roboto Light" w:cs="Roboto Light"/>
          <w:b/>
          <w:bCs/>
          <w:color w:val="404040" w:themeColor="text1" w:themeTint="BF"/>
          <w:sz w:val="20"/>
          <w:szCs w:val="20"/>
        </w:rPr>
        <w:t xml:space="preserve">firewall reconfigurations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involved rule audits, segmentation updates, and blocklist implementations to fortify perimeter defenses against advanced persistent threats and ransomware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design and integrate new </w:t>
      </w:r>
      <w:r w:rsidRPr="00745DD3">
        <w:rPr>
          <w:rFonts w:ascii="Roboto Light" w:eastAsia="Roboto Light" w:hAnsi="Roboto Light" w:cs="Roboto Light"/>
          <w:b/>
          <w:bCs/>
          <w:color w:val="404040" w:themeColor="text1" w:themeTint="BF"/>
          <w:sz w:val="20"/>
          <w:szCs w:val="20"/>
        </w:rPr>
        <w:t xml:space="preserve">Indicators of Compromise (IOCs)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firewall rulesets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and operational effectiveness during critical incident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w:t>
      </w:r>
      <w:r w:rsidRPr="00745DD3">
        <w:rPr>
          <w:rFonts w:ascii="Roboto Light" w:eastAsia="Roboto Light" w:hAnsi="Roboto Light" w:cs="Roboto Light"/>
          <w:b/>
          <w:bCs/>
          <w:color w:val="404040" w:themeColor="text1" w:themeTint="BF"/>
          <w:sz w:val="20"/>
          <w:szCs w:val="20"/>
        </w:rPr>
        <w:t xml:space="preserve">network backup and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translating complex technical requirements into efficient workflows, thereby minimizing potential downtime during incidents and ensuring business continuity across the client's operational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extensive </w:t>
      </w:r>
      <w:r w:rsidRPr="00745DD3">
        <w:rPr>
          <w:rFonts w:ascii="Roboto Light" w:eastAsia="Roboto Light" w:hAnsi="Roboto Light" w:cs="Roboto Light"/>
          <w:b/>
          <w:bCs/>
          <w:color w:val="404040" w:themeColor="text1" w:themeTint="BF"/>
          <w:sz w:val="20"/>
          <w:szCs w:val="20"/>
        </w:rPr>
        <w:t xml:space="preserve">security expertise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reviewing detection measures and conducting post-mortem analyses of breaches, offering critical insights that drove substantial improvements in incident response protocols and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formal security control objectives and proactively engaged with </w:t>
      </w:r>
      <w:r w:rsidRPr="00745DD3">
        <w:rPr>
          <w:rFonts w:ascii="Roboto Light" w:eastAsia="Roboto Light" w:hAnsi="Roboto Light" w:cs="Roboto Light"/>
          <w:b/>
          <w:bCs/>
          <w:color w:val="404040" w:themeColor="text1" w:themeTint="BF"/>
          <w:sz w:val="20"/>
          <w:szCs w:val="20"/>
        </w:rPr>
        <w:t xml:space="preserve">external experts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incident response strategies were aligned with industry best practices and compliance requirements, thereby enhancing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gaps in existing detection and recovery controls, escalating areas of security risk while formulating strategic action plans to reduce vulnerabilities and enhance organizational resilience against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w:t>
      </w:r>
      <w:r w:rsidRPr="00745DD3">
        <w:rPr>
          <w:rFonts w:ascii="Roboto Light" w:eastAsia="Roboto Light" w:hAnsi="Roboto Light" w:cs="Roboto Light"/>
          <w:b/>
          <w:bCs/>
          <w:color w:val="404040" w:themeColor="text1" w:themeTint="BF"/>
          <w:sz w:val="20"/>
          <w:szCs w:val="20"/>
        </w:rPr>
        <w:t xml:space="preserve">cybersecurity exercises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simulations, refining recovery tactics that paved the way for a more reliable and streamlined approach to handling real-life cyber incidents, fostering team collaboration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w:t>
      </w:r>
      <w:r w:rsidRPr="00745DD3">
        <w:rPr>
          <w:rFonts w:ascii="Roboto Light" w:eastAsia="Roboto Light" w:hAnsi="Roboto Light" w:cs="Roboto Light"/>
          <w:b/>
          <w:bCs/>
          <w:color w:val="404040" w:themeColor="text1" w:themeTint="BF"/>
          <w:sz w:val="20"/>
          <w:szCs w:val="20"/>
        </w:rPr>
        <w:t xml:space="preserve">network capacity and security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analytics tools to predict potential issues and streamline operational efficiency, which significantly reduced the time taken to respond to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 diverse range of stakeholders, from internal teams to external partners, ensuring a thorough understanding of their unique security needs and enhancing cooperative strategies for incident handling and recovery, facilitating better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new </w:t>
      </w:r>
      <w:r w:rsidRPr="00745DD3">
        <w:rPr>
          <w:rFonts w:ascii="Roboto Light" w:eastAsia="Roboto Light" w:hAnsi="Roboto Light" w:cs="Roboto Light"/>
          <w:b/>
          <w:bCs/>
          <w:color w:val="404040" w:themeColor="text1" w:themeTint="BF"/>
          <w:sz w:val="20"/>
          <w:szCs w:val="20"/>
        </w:rPr>
        <w:t xml:space="preserve">system design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modern infrastructure that included the installation and maintenance of complex operating systems, elevating the overall security posture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assessments of network infrastructure, focusing on optimization strategies that enabled more effective communication and coordination during cybersecurity incidents, significantly improving incident response capabilities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forensic data collection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incident recovery efforts, ensuring that critical evidence was preserved while also establishing guidelines for incident investigations that complied with industry standards and legal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reports reflecting on completed recoveries and incident responses, presenting findings to senior management, and offering strategic recommendations that enhanced the overall security framework and response agility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cybersecurity analysts, facilitating knowledge transfer sessions on threat detection, incident management, and cybersecurity best practices, thus contributing to the overall growth and capability enhancement of the Response &amp; Recovery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web-based applications focusing on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adhering closely to industry standards and best practices to ensure robust security protocols within the development lifecycle, enhancing overall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heavily to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by developing automated workflows that improved incident management efficiency and significantly reduced the time required to detect and rectify potential security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w:t>
      </w: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installing, configuring, and optimizing network devices, actively ensuring that they met high availability and security standards across various operational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system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approval processes, and quality assurance procedures for developed applications, employing best practices for validation that safeguarded the applications against security exploits and vulnerabilities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security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that raised awareness about cybersecurity threats within the organization, advocating for a culture of security mindfulness, which cultivated proactive measures against emerging threats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effective code review protocols that incorporated rigorous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vulnerabilities were identified and mitigated long before deployment, thereby contributing to systems that adhered to compliance mandates.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high-priority projects, focusing on integrating new systems and technologies that enhanced operational efficiency and reduced risks associated with </w:t>
      </w:r>
      <w:r w:rsidRPr="00745DD3">
        <w:rPr>
          <w:rFonts w:ascii="Roboto Light" w:eastAsia="Roboto Light" w:hAnsi="Roboto Light" w:cs="Roboto Light"/>
          <w:b/>
          <w:bCs/>
          <w:color w:val="404040" w:themeColor="text1" w:themeTint="BF"/>
          <w:sz w:val="20"/>
          <w:szCs w:val="20"/>
        </w:rPr>
        <w:t xml:space="preserve">data breaches and security incidents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the wider architectural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routine assessments of developed applications, utilizing various compliance checks to ensure they met security standards, thus enabling prompt identification of and response to vulnerabilities, further securing client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documentation processes that maintained an extensive library of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incident management protocols, and system architecture guidelines, serving both educational and operational continuity purposes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various security stakeholders, including </w:t>
      </w:r>
      <w:r w:rsidRPr="00745DD3">
        <w:rPr>
          <w:rFonts w:ascii="Roboto Light" w:eastAsia="Roboto Light" w:hAnsi="Roboto Light" w:cs="Roboto Light"/>
          <w:b/>
          <w:bCs/>
          <w:color w:val="404040" w:themeColor="text1" w:themeTint="BF"/>
          <w:sz w:val="20"/>
          <w:szCs w:val="20"/>
        </w:rPr>
        <w:t xml:space="preserve">external clients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security needs were met while managing the integration of new solutions, thereby enhancing collaboration and strategic partnership between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methodologies to streamline development processes, integrating </w:t>
      </w:r>
      <w:r w:rsidRPr="00745DD3">
        <w:rPr>
          <w:rFonts w:ascii="Roboto Light" w:eastAsia="Roboto Light" w:hAnsi="Roboto Light" w:cs="Roboto Light"/>
          <w:b/>
          <w:bCs/>
          <w:color w:val="404040" w:themeColor="text1" w:themeTint="BF"/>
          <w:sz w:val="20"/>
          <w:szCs w:val="20"/>
        </w:rPr>
        <w:t xml:space="preserve">continuous integration/continuous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practices with security measures to create secure build pipelines for applications deployed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various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best practices and ensuring that appropriate security controls and identity management measures were in place to safeguard critical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