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specializing in web and mobile applications, particularly in AI and machine learning technologies. Demonstrated ability to build and integrate intelligent systems, utilizing modern frameworks and methodologies to enhance educational outcomes. Proven track record of developing production-ready features and ensuring compliance with privacy regulations in EdTech and HealthTech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NestJS, React, LangChain, LangGraph, Material UI, Docker,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Handling:</w:t>
      </w:r>
      <w:r w:rsidRPr="00745DD3">
        <w:rPr>
          <w:rFonts w:ascii="Roboto Light" w:eastAsia="Roboto Light" w:hAnsi="Roboto Light" w:cs="Roboto Light"/>
          <w:color w:val="404040" w:themeColor="text1" w:themeTint="BF"/>
          <w:sz w:val="20"/>
          <w:szCs w:val="20"/>
        </w:rPr>
        <w:t xml:space="preserve"> PostgreSQL, Redis, pgvector, Pinecone, Chroma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OpenAI API, Claude API, ML models, RAG systems,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Google Cloud Platform, GitHub Actions, Sentry, Datadog,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production-ready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using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intelligent educational solutions that empower educators and students in their learning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sophisticated tool-calling systems that enable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dynamically interact with application APIs, enhancing workflow efficiency and user experience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multi-agent workflows capable of tackling complex tasks in education and clinical scenarios, leveraging advanced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maintain versioning and ensure high-quality, context-aware AI responses, particularly focusing on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their limitations.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RAG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contextual responses from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prioritizing accuracy, latency, and cost-effectiveness while complying with educational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real-time streaming interfaces for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responses using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interactive feature sets that respond instantaneously to user input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via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model serving architectures while enhancing cross-functional team collaboration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secure API endpoints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implementing robust authentication protocols that protect sensitive end-user data from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constructed fallback systems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ensure graceful degradation of service during high-load scenarios, maintaining a seamless user experience under variable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evaluation frameworks for testing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features, facilitating continuous improvement of algorithms based on user feedback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responsible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alignment with FERPA and COPPA compliance, integrating privacy-preserving technologies into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legal and compliance teams to devise effective policies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ensuring proactive monitoring and assessment of ethical implications in product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evaluate robustness against potential misuse, ensuring that all outputs adhere to established safety guidelines for student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monitoring systems for detecting and mitigating harmful outputs from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enhancing user trust and product reliability in educational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training sessions to enhance team proficiency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culture of innovation and shared knowledge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features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large-scale applications used by diverse global users, tirelessly focusing on optimizing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user experience through responsive interfaces and seamless integration of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utilization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services that integrate machine learning models, emphasizing efficient APIs to streamline user interactions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efforts to migrate legacy systems to modern architectures,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continuity and stability in complex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production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necessary monitoring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bug tracking and resolution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creating advanced analytics dashboards to visualize system performance, leveraging data from multiple sources to inform product development and user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development, testing, and production environments across multiple project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Reinforced agile development practices within the team, focusing on iterative improvement by implementing unit tests and fostering a culture of code review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data storage solutions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times and ensuring seamless integration with application workflows for superior user benefit.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monitoring systems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application reliability and provided insight into user behavior and application performance in real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maintaining compliance with data regulations, particularly within the domain of education technology, ensuring that all software solutions adhered strictly to legal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particularly focusing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integration, promoting skill development and project ownership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