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web and mobile applications. Proficient in predictive analytics, pricing models, and actuarial science, adept at leading high-performing teams to drive strategic decision-making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 Java, TypeScript,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Tools:</w:t>
      </w:r>
      <w:r w:rsidRPr="00745DD3">
        <w:rPr>
          <w:rFonts w:ascii="Roboto Light" w:eastAsia="Roboto Light" w:hAnsi="Roboto Light" w:cs="Roboto Light"/>
          <w:color w:val="404040" w:themeColor="text1" w:themeTint="BF"/>
          <w:sz w:val="20"/>
          <w:szCs w:val="20"/>
        </w:rPr>
        <w:t xml:space="preserve"> SAS, Excel, SPSS, Stata, Minitab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Frameworks:</w:t>
      </w:r>
      <w:r w:rsidRPr="00745DD3">
        <w:rPr>
          <w:rFonts w:ascii="Roboto Light" w:eastAsia="Roboto Light" w:hAnsi="Roboto Light" w:cs="Roboto Light"/>
          <w:color w:val="404040" w:themeColor="text1" w:themeTint="BF"/>
          <w:sz w:val="20"/>
          <w:szCs w:val="20"/>
        </w:rPr>
        <w:t xml:space="preserve"> GLM, GAM, GBM,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D3.js, Plotly,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Actuarial Tools &amp; Software:</w:t>
      </w:r>
      <w:r w:rsidRPr="00745DD3">
        <w:rPr>
          <w:rFonts w:ascii="Roboto Light" w:eastAsia="Roboto Light" w:hAnsi="Roboto Light" w:cs="Roboto Light"/>
          <w:color w:val="404040" w:themeColor="text1" w:themeTint="BF"/>
          <w:sz w:val="20"/>
          <w:szCs w:val="20"/>
        </w:rPr>
        <w:t xml:space="preserve"> Emblem, Radar, QRM, Milliman, 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pricing strategy across a diverse property portfolio, ensuring alignment with risk, growth, and profitability goals through deep analytical insights and advanced modeling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advanced pricing models using </w:t>
      </w:r>
      <w:r w:rsidRPr="00745DD3">
        <w:rPr>
          <w:rFonts w:ascii="Roboto Light" w:eastAsia="Roboto Light" w:hAnsi="Roboto Light" w:cs="Roboto Light"/>
          <w:b/>
          <w:bCs/>
          <w:color w:val="404040" w:themeColor="text1" w:themeTint="BF"/>
          <w:sz w:val="20"/>
          <w:szCs w:val="20"/>
        </w:rPr>
        <w:t xml:space="preserve">GLMs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GBMs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model governance, validating outputs, and continuously monitoring for accuracy and deterioration in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reserving strategy for the company, delivering insights into </w:t>
      </w:r>
      <w:r w:rsidRPr="00745DD3">
        <w:rPr>
          <w:rFonts w:ascii="Roboto Light" w:eastAsia="Roboto Light" w:hAnsi="Roboto Light" w:cs="Roboto Light"/>
          <w:b/>
          <w:bCs/>
          <w:color w:val="404040" w:themeColor="text1" w:themeTint="BF"/>
          <w:sz w:val="20"/>
          <w:szCs w:val="20"/>
        </w:rPr>
        <w:t xml:space="preserve">IBNR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loss ratio analysis, and conducting thorough reserve adequacy reviews to align with the financial objectives of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Upgraded, modernized, and maintained efficient rating tools and raters, ensuring underwriters and distribution partners could access fast, intuitive, and accurate pricing mechanisms for their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underwriting, product management, finance, and reinsurance teams to translate complex analytics into digestible portfolio and product strategies that improved profitability.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actuarial staff, setting clear expectations, and providing constructive feedback to develop their skills and enhance the overall capability of the actuarial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significant automation and process improvements in pricing and reserving practices, facilitating a reduction in manual workloads, and enhancing the responsiveness of our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Articulated complex actuarial and data science concepts into clear, business-friendly language to ensure stakeholder buy-in, fostering strong cross-departmental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development of a culture that values continuous improvement through embracing feedback, sharing best practices, and encouraging innovation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predictive analytics seamlessly into operational processes, leading to enhanced decision-making and operational efficiency in catastrophe-prone market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statistical methodologies and machine learning techniques to improve the precision of underwriting decisions and optimize portfolio risks while maximizing profitability and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to identify emerging industry trends, leveraging data to develop competitive insights that informed strategic initiatives and product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collaborative workshops aimed at enhancing synergy among various operational teams, promoting a shared understanding of analytical insights and business objectives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reporting processes for executive stakeholders, delivering insightful visualizations and analyses that supported strategic planning and policy decisions in high-stakes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historic actuarial data to inform future business strategies and risk assessments, positioning the organization to capitalize on changing market conditions.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development of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improving engagement through innovative features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ensuring seamless integration with frontend interfaces while maintaining high 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agile environments to gather requirements, develop solutions, and ensure timely delivery of project milestones through effective time management and prioritization.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extraction and transformation to generate actionable insights and reports, driving data-informed decision-making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computing solutions, optimizing operational costs and ensuring robust deployment processes for various software products, enhancing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code reviews, fostering a culture of quality assurance and continuous improvement within the development team, which resulted in reduced bugs and improved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 services and third-party libraries to enhance application functionality, providing users with seamless access to the data they need, championing user experience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industry best practices and encouraging professional development within the team, leading to improved project outcomes and team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teams on new tools and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for containerized applications and promoting DevOps methodologies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system enhancements through thorough architectural reviews and performance evaluations, driving continuous integration and deployment strategies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application issues in </w:t>
      </w:r>
      <w:r w:rsidRPr="00745DD3">
        <w:rPr>
          <w:rFonts w:ascii="Roboto Light" w:eastAsia="Roboto Light" w:hAnsi="Roboto Light" w:cs="Roboto Light"/>
          <w:b/>
          <w:bCs/>
          <w:color w:val="404040" w:themeColor="text1" w:themeTint="BF"/>
          <w:sz w:val="20"/>
          <w:szCs w:val="20"/>
        </w:rPr>
        <w:t xml:space="preserve">production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utilizing debugging skills and analytical abilities to ensure minimal downtime and disruption to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comprehensive data pipeline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big data processing, addressing the needs of data scientists and analysts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