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professional with 11 years of experience in software development, specializing in web and mobile applications. Expertise in DevOps practices, cloud migration, and automation techniques, particularly utilizing AWS and Azure platforms. Aiming to leverage strong skills in CI/CD, microservices, and containerization to drive efficiency and operational excellence in technology processes.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CloudFormation,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Orchestration:</w:t>
      </w:r>
      <w:r w:rsidRPr="00745DD3">
        <w:rPr>
          <w:rFonts w:ascii="Roboto Light" w:eastAsia="Roboto Light" w:hAnsi="Roboto Light" w:cs="Roboto Light"/>
          <w:color w:val="404040" w:themeColor="text1" w:themeTint="BF"/>
          <w:sz w:val="20"/>
          <w:szCs w:val="20"/>
        </w:rPr>
        <w:t xml:space="preserve"> Docker, Kubernetes, Helm, OpenShift, Micronaut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Ansible, Jenkins, Git, Prometheus, Grafana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Configuration Management:</w:t>
      </w:r>
      <w:r w:rsidRPr="00745DD3">
        <w:rPr>
          <w:rFonts w:ascii="Roboto Light" w:eastAsia="Roboto Light" w:hAnsi="Roboto Light" w:cs="Roboto Light"/>
          <w:color w:val="404040" w:themeColor="text1" w:themeTint="BF"/>
          <w:sz w:val="20"/>
          <w:szCs w:val="20"/>
        </w:rPr>
        <w:t xml:space="preserve"> Puppet, Chef, SaltStack, Terraform, Infrastructure as 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Bash, JavaScript, Go,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Microservices &amp; Architecture:</w:t>
      </w:r>
      <w:r w:rsidRPr="00745DD3">
        <w:rPr>
          <w:rFonts w:ascii="Roboto Light" w:eastAsia="Roboto Light" w:hAnsi="Roboto Light" w:cs="Roboto Light"/>
          <w:color w:val="404040" w:themeColor="text1" w:themeTint="BF"/>
          <w:sz w:val="20"/>
          <w:szCs w:val="20"/>
        </w:rPr>
        <w:t xml:space="preserve"> RESTful Services, GraphQL, Service Mesh, API Gateway, Event-Driven Architecture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deployment efficiency and reducing integration cycles while ensuring high-quality code delivery across multiple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DevOps best practices to streamline deployment processes, leveraging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enable containerization and orchestration of applications, meeting dynamic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infrastructure as code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rapid and consistent provisioning of cloud resources, which resulted in improved operational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and implement microservices architecture, ensuring seamless integration and high availability for critical applications in a cloud environment. Increased application reliability by adopting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emphasizing on security best practices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continuous system monitoring and performance tuning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proactive incident management and enhanced system performance metrics, aligning IT operations with business objectives.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cloud solutions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automation and resource management to reduce operational costs and improve service delivery while adhering to industry compliance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implement container orchestration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resource utilization and streamlining development workflows, which improved team agility by enhancing deployment speeds and reducing downtime.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