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software engineer with over 11 years of experience in developing cutting-edge AI/ML solutions and enhancing performance in web and mobile applications. Expertise in architecting complex systems and delivering low-latency inference architectures using the latest technologies in Python, Kubernetes, AWS, and NVIDIA GPU environments. Proven ability to translate abstract business challenges into scalable AI architectures while collaborating effectively with cross-functional teams and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Golang, Rust,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Keras, scikit-learn, OpenCV,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Kubernetes, OpenShift, Docker,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&amp; Media Technologies:</w:t>
      </w:r>
      <w:r w:rsidRPr="00745DD3">
        <w:rPr>
          <w:rFonts w:ascii="Roboto Light" w:eastAsia="Roboto Light" w:hAnsi="Roboto Light" w:cs="Roboto Light"/>
          <w:color w:val="404040" w:themeColor="text1" w:themeTint="BF"/>
          <w:sz w:val="20"/>
          <w:szCs w:val="20"/>
        </w:rPr>
        <w:t xml:space="preserve"> FFmpeg, GStreamer, CUDA, NVIDIA Holoscan, Modern Codecs (H.264/5), WebRTC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LangGraph, AutoGen, Semantic Kernel, GPT-4o, Gemini Pro Vision, LLaVA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end-to-end AI inference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real-time processing capabilities for diverse media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autonomous agents capable of interpreting and reasoning about video content using advanced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integrating seamlessly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Vision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GPT-4o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production-grade infrastructures, enabling robust analytics and interpretation of multi-modal content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services, ensuring reliability and scalability across environments, while also maximizing resource utilization under heavy media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from major sports leagues and global media brands to define clear requirements, translating complex business needs into actionable AI architectures and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architecture diagrams and comprehensive technical documentation that facilitated understanding across both technical teams and non-technical stakeholders, promoting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pre-sales discussions and technical demonstrations, contributing to the validation of proposed solutions and establishing credibility with prospective clients through clear communication of architectural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optimization of workloads for modern </w:t>
      </w:r>
      <w:r w:rsidRPr="00745DD3">
        <w:rPr>
          <w:rFonts w:ascii="Roboto Light" w:eastAsia="Roboto Light" w:hAnsi="Roboto Light" w:cs="Roboto Light"/>
          <w:b/>
          <w:bCs/>
          <w:color w:val="404040" w:themeColor="text1" w:themeTint="BF"/>
          <w:sz w:val="20"/>
          <w:szCs w:val="20"/>
        </w:rPr>
        <w:t xml:space="preserve">NVIDIA GPU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throughput for real-time media applications by employing efficient resource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AI tools and frameworks such as </w:t>
      </w:r>
      <w:r w:rsidRPr="00745DD3">
        <w:rPr>
          <w:rFonts w:ascii="Roboto Light" w:eastAsia="Roboto Light" w:hAnsi="Roboto Light" w:cs="Roboto Light"/>
          <w:b/>
          <w:bCs/>
          <w:color w:val="404040" w:themeColor="text1" w:themeTint="BF"/>
          <w:sz w:val="20"/>
          <w:szCs w:val="20"/>
        </w:rPr>
        <w:t xml:space="preserve">Mojo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NVIDIA Holoscan to advance new technologies in media processing, staying ahead of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project teams in implementing solutions that adhered to the intended architecture, ensuring delivery of quality software that aligned with product value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enhancing collective understanding of both underlying technologies and market demands, contributing to an inclusive and innovation-driven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strategies to ensure reliability and quality of AI solutions, reducing deployment time while improving the rate of successful rollouts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engagement with clients throughout the project lifecycle, collecting feedback and adjusting implementations to better meet evolving requirements while fostering strong professional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AI solutions on </w:t>
      </w:r>
      <w:r w:rsidRPr="00745DD3">
        <w:rPr>
          <w:rFonts w:ascii="Roboto Light" w:eastAsia="Roboto Light" w:hAnsi="Roboto Light" w:cs="Roboto Light"/>
          <w:b/>
          <w:bCs/>
          <w:color w:val="404040" w:themeColor="text1" w:themeTint="BF"/>
          <w:sz w:val="20"/>
          <w:szCs w:val="20"/>
        </w:rPr>
        <w:t xml:space="preserve">edge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hybrid cloud approaches to deliver low-latency services without compromising on the complexity of calculations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broader team initiatives to promote diversity and inclusion in tech, aligning personally and professionally with the company's commitment to equity in the workplace.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scalable software solutions as a core member of the team,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on creating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user interface design and experience through iterative feedback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overseeing the entire software development lifecycle from conception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existing systems, expanding functionality and enabling predictive analytics that drove business decisions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collaboration, maintaining clean and maintainable code throughout the development process, enhancing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between frontend and backend systems, ensuring reliable connections and robust data delivery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applications, identifying bottlenecks and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monitoring and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fostering a culture of learning and improvement while enhancing team knowledge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test-driven methodologies for software releases, ensuring solutions met quality benchmarks while also reducing the time to market for critical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and queries that improved data retrieval efficiency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team meetings to ensure alignment with project goals and timelines, contributing to the ongoing improvement of processes and methodologies utilized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integrations with third-party services and APIs, creating more robust application functionalities and improving user engagement through enhanced service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