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leader with over 11 years of experience focusing on web and mobile applications. Proven ability in leveraging data, AI, and analytics to enhance business performance. Strong expertise in building innovative solutions and driving transformation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Scala, SQL, JavaScript,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Hadoop, Spark, Kafka, MongoDB, PostgreSQL, Tableau, Power BI,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Natural Language Processing, Computer Vision, XGBoost,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Angular, React, Express.js, Node.js,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Jenkins, AWS, Azure, GCP,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scaled a global analytics team, developing a comprehensive strategy that improved analytics capabilities through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innovative thinking across both the U.S. and India.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owned the analytics solutions roadmap, aligning closely with corporate strategy and product vision to ensure successful integration of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groundbreaking analytics offerings, leveraging </w:t>
      </w:r>
      <w:r w:rsidRPr="00745DD3">
        <w:rPr>
          <w:rFonts w:ascii="Roboto Light" w:eastAsia="Roboto Light" w:hAnsi="Roboto Light" w:cs="Roboto Light"/>
          <w:b/>
          <w:bCs/>
          <w:color w:val="404040" w:themeColor="text1" w:themeTint="BF"/>
          <w:sz w:val="20"/>
          <w:szCs w:val="20"/>
        </w:rPr>
        <w:t xml:space="preserve">Data Axle’s proprietary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and technology to create high-impact solutions for diverse clients in various industry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and Engineering teams, converting analytical requirements into actionable data science and product specifications, enhancing overall product development cycles and achieving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transformation engagements, modernizing business models and analytical frameworks for clients, ensuring delivery aligned with best practices in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to C-suite and VP-level stakeholders, effectively communicating the value of analytics and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driving measurable business outcomes while fostering long-term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commercial growth by collaborating with Sales and Customer Success teams, packaging compelling </w:t>
      </w:r>
      <w:r w:rsidRPr="00745DD3">
        <w:rPr>
          <w:rFonts w:ascii="Roboto Light" w:eastAsia="Roboto Light" w:hAnsi="Roboto Light" w:cs="Roboto Light"/>
          <w:b/>
          <w:bCs/>
          <w:color w:val="404040" w:themeColor="text1" w:themeTint="BF"/>
          <w:sz w:val="20"/>
          <w:szCs w:val="20"/>
        </w:rPr>
        <w:t xml:space="preserve">analytic narratives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resulted in increased revenue across licensing and consulting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emerging leaders within the analytics practice, establishing a culture of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accountability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encouraged knowledge sharing and professional development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analytics methodologies and </w:t>
      </w: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operational processes to support internal transformations that modernized data insights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client impact, setting KPIs for client satisfaction and solution effectiveness that guided continuous improvement efforts across analytics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organizational structures to implement cross-functional initiatives that championed the use of </w:t>
      </w:r>
      <w:r w:rsidRPr="00745DD3">
        <w:rPr>
          <w:rFonts w:ascii="Roboto Light" w:eastAsia="Roboto Light" w:hAnsi="Roboto Light" w:cs="Roboto Light"/>
          <w:b/>
          <w:bCs/>
          <w:color w:val="404040" w:themeColor="text1" w:themeTint="BF"/>
          <w:sz w:val="20"/>
          <w:szCs w:val="20"/>
        </w:rPr>
        <w:t xml:space="preserve">AI and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everyday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frameworks for assessing emerging technologies, ensuring that the analytics team remained at the forefront of industry advancements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an escalation point for high-profile clients, ensuring high-quality outcomes were achieved consistently in all analytics engagements and strengthening customer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within analytics teams through regular feedback loops and open dialogue about operational efficiencies and strategic alignment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innovative service offerings by leveraging </w:t>
      </w:r>
      <w:r w:rsidRPr="00745DD3">
        <w:rPr>
          <w:rFonts w:ascii="Roboto Light" w:eastAsia="Roboto Light" w:hAnsi="Roboto Light" w:cs="Roboto Light"/>
          <w:b/>
          <w:bCs/>
          <w:color w:val="404040" w:themeColor="text1" w:themeTint="BF"/>
          <w:sz w:val="20"/>
          <w:szCs w:val="20"/>
        </w:rPr>
        <w:t xml:space="preserve">market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cutting-edge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Axle’s solutions remain competitive and relevant.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software solutions, focusing on high-performance systems while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product reliability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software features aligned with business objectives, ensuring an agile and </w:t>
      </w:r>
      <w:r w:rsidRPr="00745DD3">
        <w:rPr>
          <w:rFonts w:ascii="Roboto Light" w:eastAsia="Roboto Light" w:hAnsi="Roboto Light" w:cs="Roboto Light"/>
          <w:b/>
          <w:bCs/>
          <w:color w:val="404040" w:themeColor="text1" w:themeTint="BF"/>
          <w:sz w:val="20"/>
          <w:szCs w:val="20"/>
        </w:rPr>
        <w:t xml:space="preserve">iterative development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AWS to deploy applications, enhancing system resilience and operational scalability for various customer-facing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analysis and integrity checks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querying and management, ensuring robust data handling and accurate reporting on software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coding standards and software development methodologies,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software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mentorship to junior developers, encouraging knowledge sharing and promoting a culture of continuous learning and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that facilitated the integration of disparate systems, improving data flow and operational synergy through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led architecture discussions, fostering a high-quality codebase and improving overall team </w:t>
      </w:r>
      <w:r w:rsidRPr="00745DD3">
        <w:rPr>
          <w:rFonts w:ascii="Roboto Light" w:eastAsia="Roboto Light" w:hAnsi="Roboto Light" w:cs="Roboto Light"/>
          <w:b/>
          <w:bCs/>
          <w:color w:val="404040" w:themeColor="text1" w:themeTint="BF"/>
          <w:sz w:val="20"/>
          <w:szCs w:val="20"/>
        </w:rPr>
        <w:t xml:space="preserve">technical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real-time analytics solutions which leverage big data technologies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engagement for requirements gathering, ensuring that software solutions were tailored to meet specific customer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across multiple devices and platforms, focusing on </w:t>
      </w:r>
      <w:r w:rsidRPr="00745DD3">
        <w:rPr>
          <w:rFonts w:ascii="Roboto Light" w:eastAsia="Roboto Light" w:hAnsi="Roboto Light" w:cs="Roboto Light"/>
          <w:b/>
          <w:bCs/>
          <w:color w:val="404040" w:themeColor="text1" w:themeTint="BF"/>
          <w:sz w:val="20"/>
          <w:szCs w:val="20"/>
        </w:rPr>
        <w:t xml:space="preserve">optimal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define testing standards and protocols, ensuring robust testing procedures that enhanced software reliability and reduced post-deployment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