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primarily focused on quantitative risk management and model validation in financial contexts with a strong emphasis on crypto technology. Expertise in creating analytical tools and dashboards, leveraging machine learning and statistical techniques to drive decision-making and risk estimation. Proven ability to collaborate with cross-functional teams and translate complex data analysis into actionable insights, ensuring adherence to regulatory standards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SQL, R, Matlab, JavaScript,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PyTorch, Django, Flask,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Stochastic Calculus, Back-Testing, Stress Testing, Benchmarking, Exploratory Data Analysis, Risk Estimation Models, Time-Series Analysis, Monte Carlo Simulation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Kafka, Power BI, D3.js, Spring Boot,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Validation, Fraud Detection Models, Payment Risk Models, Regulatory Compliance Models, Enterprise Risk Management, Liquidity Risk Analysis, Market Risk Analysis, Operational Risk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mathematical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risk estimation that enhanced the predictive accuracy of market dynamics and volatility assessments, fostering more informed decision-making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for internal stakeholders, improving transparency in risk assessments and enabling proactive adjustments to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 datasets incorporating both market indicators and alternative data sources, leading to the identification of significant trends affecting key risk drivers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translate complex business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operational capabilities and improving overall risk management strategies within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model performance and governance, ensuring compliance with regulatory expectations while consistently meeting internal policies regarding model validation and risk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reviews of existing models and facilitated independent model testing and performance validation via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stress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departmental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algorithms into existing risk assessment frameworks, thereby increasing accuracy in predicting financial outcomes and mitigating risk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tool-building processes, ensuring that automated reports were delivered efficiently, resulting in improved stakeholder satisfaction through timely and relevant analytics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sophisticated statistical analyses, generating insights that directly influenced executive risk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projects involving the evaluation of existing risk management processes, identifying gaps, and presenting actionable recommendations based on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attribution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to senior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communication channels with stakeholders, allowing for effective dissemination of complex quantitative findings to non-technical audiences, thus enhancing alignment on risk-related objectives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fraud detection initiatives, eventually leading to improved responsiveness in identifying irregular transactions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 web application that streamlined risk assessment protocols, successfully reducing processing time for risk evaluations and enhancing operational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scenario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anticipate potential market shifts and their implications on institutional risk profiles, enabling timely strategic adjustments to mitigate financial repercussions.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team-building programs that fostered an inclusive and collaborative workplace culture, driving innovation through shared knowledge and diverse problem-solving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features that enhanced the performance of financial applications while adhering to industry best practices in code maintenance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retrieval purposes, enhancing the performance of back-end systems that facilitated data-driven decisions within financial services linked to credit portfolio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diversified teams to refine and validate quantitative models that spanned various asset classes, bolstering the organization’s capabilities in comprehensive risk analysis and performance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market research that informed investment strategies, providing detailed reports that underscored the implications of financial performance under differing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and optimize algorithms for predictive analytics, particularly focused on enhancing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estimation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market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model validation processes ensuring compliance with financial regulations, leveraging statistical methodologies that ensured robustness in model performance under various market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user-friendly interfaces for analytical software,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end-user experience while enabling effective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models used across departments, ensuring that a comprehensive understanding of the models' limitations and assumptions was conveyed,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analysts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while promoting an understanding of model governance and risk assessment methodologies within financial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automated processes for data—collection and cleaning, significantly enhancing the overall quality of analyses performed within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Stochastic Calculus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Monte Carlo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crafting simulation models that informed executive decision-making around risk policies and strategic positioning within volatile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hackathon initiatives within the organization aimed at fostering innovative solutions around quantitative finance, which contributed to enhanced team morale and cross-departmental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