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Risk Decision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Risk Decision Scientist with 11 years of experience specializing in fraud prevention, credit performance, and risk strategy frameworks. Proficient in SQL, Python, and analytical visualization, with proven ability to analyze extensive datasets and develop strategic solutions within startup and fintech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Amazon QuickSight, Looker, Power BI, Mode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Machine Learning:</w:t>
      </w:r>
      <w:r w:rsidRPr="00745DD3">
        <w:rPr>
          <w:rFonts w:ascii="Roboto Light" w:eastAsia="Roboto Light" w:hAnsi="Roboto Light" w:cs="Roboto Light"/>
          <w:color w:val="404040" w:themeColor="text1" w:themeTint="BF"/>
          <w:sz w:val="20"/>
          <w:szCs w:val="20"/>
        </w:rPr>
        <w:t xml:space="preserve"> Pandas, NumPy, Scikit-Learn, TensorFlow, Keras,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Risk Management Tools:</w:t>
      </w:r>
      <w:r w:rsidRPr="00745DD3">
        <w:rPr>
          <w:rFonts w:ascii="Roboto Light" w:eastAsia="Roboto Light" w:hAnsi="Roboto Light" w:cs="Roboto Light"/>
          <w:color w:val="404040" w:themeColor="text1" w:themeTint="BF"/>
          <w:sz w:val="20"/>
          <w:szCs w:val="20"/>
        </w:rPr>
        <w:t xml:space="preserve"> RiskRules, FraudMonitoring, AML, KYC,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Risk Decision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comprehensive end-to-end risk strategy frameworks, integrating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statistical methods to enhance transaction decision-making processes in a dynamic fintech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emerging fraud trends, providing actionable insights that informed </w:t>
      </w:r>
      <w:r w:rsidRPr="00745DD3">
        <w:rPr>
          <w:rFonts w:ascii="Roboto Light" w:eastAsia="Roboto Light" w:hAnsi="Roboto Light" w:cs="Roboto Light"/>
          <w:b/>
          <w:bCs/>
          <w:color w:val="404040" w:themeColor="text1" w:themeTint="BF"/>
          <w:sz w:val="20"/>
          <w:szCs w:val="20"/>
        </w:rPr>
        <w:t xml:space="preserve">high-impact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operational teams and client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Engineering, and Risk Operations to translate complex business needs into scalable, data-driven strategies, ensuring seamless execution and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performance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such as </w:t>
      </w:r>
      <w:r w:rsidRPr="00745DD3">
        <w:rPr>
          <w:rFonts w:ascii="Roboto Light" w:eastAsia="Roboto Light" w:hAnsi="Roboto Light" w:cs="Roboto Light"/>
          <w:b/>
          <w:bCs/>
          <w:color w:val="404040" w:themeColor="text1" w:themeTint="BF"/>
          <w:sz w:val="20"/>
          <w:szCs w:val="20"/>
        </w:rPr>
        <w:t xml:space="preserve">QuickSight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risk metrics and trends to senior leadership, facilitating data-driven conversations and strategic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detected anomalies in transaction patterns, deploying targeted </w:t>
      </w:r>
      <w:r w:rsidRPr="00745DD3">
        <w:rPr>
          <w:rFonts w:ascii="Roboto Light" w:eastAsia="Roboto Light" w:hAnsi="Roboto Light" w:cs="Roboto Light"/>
          <w:b/>
          <w:bCs/>
          <w:color w:val="404040" w:themeColor="text1" w:themeTint="BF"/>
          <w:sz w:val="20"/>
          <w:szCs w:val="20"/>
        </w:rPr>
        <w:t xml:space="preserve">fraud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mitigated emerging risks and safeguarded customer experience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experiments including </w:t>
      </w:r>
      <w:r w:rsidRPr="00745DD3">
        <w:rPr>
          <w:rFonts w:ascii="Roboto Light" w:eastAsia="Roboto Light" w:hAnsi="Roboto Light" w:cs="Roboto Light"/>
          <w:b/>
          <w:bCs/>
          <w:color w:val="404040" w:themeColor="text1" w:themeTint="BF"/>
          <w:sz w:val="20"/>
          <w:szCs w:val="20"/>
        </w:rPr>
        <w:t xml:space="preserve">A/B and multivariate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 impact of new intelligence feeds and transforming test outcomes into actionable business insights for continuous optimization of risk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by presenting complex analytical findings and risk strategies in clear, concise narratives, fostering confidence and driving alignment on key initiatives critical to fraud prevention and credit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deep understanding of the U.S. banking ecosystem and payments risk landscape, applying this knowledge to enhance strategic frameworks and improve overall risk management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large datasets to execute predictive modeling for fraud detection, successfully improving the accuracy of risk assessments through innovative analytical techniques and advanced machine learning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monitoring systems, enhancing the </w:t>
      </w:r>
      <w:r w:rsidRPr="00745DD3">
        <w:rPr>
          <w:rFonts w:ascii="Roboto Light" w:eastAsia="Roboto Light" w:hAnsi="Roboto Light" w:cs="Roboto Light"/>
          <w:b/>
          <w:bCs/>
          <w:color w:val="404040" w:themeColor="text1" w:themeTint="BF"/>
          <w:sz w:val="20"/>
          <w:szCs w:val="20"/>
        </w:rPr>
        <w:t xml:space="preserve">real-time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fraud trends and establishing protocols for effective risk mitigation in line with business objectives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decision policies and risk rules through rigorous testing and analytics, driving measurable improvements in fraud prevention metrics and maintaining high standards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to external merchants and internal leadership, translating intricate risk concepts into straightforward insights that informed strategic partnerships and reinforced Trustly's commitment to secure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end-to-end optimization of risk strategy frameworks in collaboration with data science teams, demonstrating adaptability and strategic foresight in a rapidly evolving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aimed at enhancing organizational understanding of fraud dynamics, fostering a culture of proactive risk management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initiatives focused on product feature enhancements related to </w:t>
      </w:r>
      <w:r w:rsidRPr="00745DD3">
        <w:rPr>
          <w:rFonts w:ascii="Roboto Light" w:eastAsia="Roboto Light" w:hAnsi="Roboto Light" w:cs="Roboto Light"/>
          <w:b/>
          <w:bCs/>
          <w:color w:val="404040" w:themeColor="text1" w:themeTint="BF"/>
          <w:sz w:val="20"/>
          <w:szCs w:val="20"/>
        </w:rPr>
        <w:t xml:space="preserve">fraud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risk assessments, utilizing cross-functional insights to advance Trustly's product offerings and market standing.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enhancing user experience through innovative problem-solving and a focus on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as part of a dynamic team to create comprehensive software testing protocols, utilizing both manual and automated testing methods to ensure robust delivery of 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cross-functional stakeholders to continuously improve application performance,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platforms, employing best practices in software engineering to ensure a smooth transition while minimizing downtime and enhancing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assessments on web applications, optimizing back-end processes and improving front-end user interfaces through collaborative design decisions and effective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scalable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storage and retrieval mechanisms for high-load applications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front-end user interfaces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and responsive user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development, including continuous integration and deployment (CI/CD), to facilitate rapid delivery of software updates and enhancements in alignment with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standards, fostering a collaborative learning environment that enhanced team productivity and overall project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quality assurance to maintain high standards of software reliability and performance, optimizing both individual and team coding practices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from third-party services into broader application architectures, enhancing application functionality and user engagement through strategic partnerships and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clear documentation and change logs to ensure effective collaboration and quality assurance within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