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Software Engineer with over 11 years of experience in developing innovative web and mobile applications, specializing in AI systems, distributed architectures, and middleware frameworks. Proven track record in driving projects from conception to deployment while collaborating effectively in cross-functional teams.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 JavaScript, C++, C#, Go, Rust, TypeScript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TensorFlow, PyTorch, Pandas, FastAPI, Django, Spring, Flask, Kubernetes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AI &amp; Data Science Tools:</w:t>
      </w:r>
      <w:r w:rsidRPr="00745DD3">
        <w:rPr>
          <w:rFonts w:ascii="Roboto Light" w:eastAsia="Roboto Light" w:hAnsi="Roboto Light" w:cs="Roboto Light"/>
          <w:color w:val="404040" w:themeColor="text1" w:themeTint="BF"/>
          <w:sz w:val="20"/>
          <w:szCs w:val="20"/>
        </w:rPr>
        <w:t xml:space="preserve"> Scikit-learn, OpenAI Gym, NLTK, Apache Spark, Hugging Face Transformers, NumPy, Matplotlib, Airflow</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Middleware &amp; Systems:</w:t>
      </w:r>
      <w:r w:rsidRPr="00745DD3">
        <w:rPr>
          <w:rFonts w:ascii="Roboto Light" w:eastAsia="Roboto Light" w:hAnsi="Roboto Light" w:cs="Roboto Light"/>
          <w:color w:val="404040" w:themeColor="text1" w:themeTint="BF"/>
          <w:sz w:val="20"/>
          <w:szCs w:val="20"/>
        </w:rPr>
        <w:t xml:space="preserve"> ZeroMQ, RabbitMQ, Kafka, gRPC, Docker, Redis, GraphQL, REST APIs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Azure, Google Cloud, Terraform, Jenkins, Kubernetes, Ansible, Git</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research and development of </w:t>
      </w:r>
      <w:r w:rsidRPr="00745DD3">
        <w:rPr>
          <w:rFonts w:ascii="Roboto Light" w:eastAsia="Roboto Light" w:hAnsi="Roboto Light" w:cs="Roboto Light"/>
          <w:b/>
          <w:bCs/>
          <w:color w:val="404040" w:themeColor="text1" w:themeTint="BF"/>
          <w:sz w:val="20"/>
          <w:szCs w:val="20"/>
        </w:rPr>
        <w:t xml:space="preserve">AI systems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enhancing safety through robust architectures and agent execution environments while fostering innovations in multi-objective optimization techniques.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scalable </w:t>
      </w:r>
      <w:r w:rsidRPr="00745DD3">
        <w:rPr>
          <w:rFonts w:ascii="Roboto Light" w:eastAsia="Roboto Light" w:hAnsi="Roboto Light" w:cs="Roboto Light"/>
          <w:b/>
          <w:bCs/>
          <w:color w:val="404040" w:themeColor="text1" w:themeTint="BF"/>
          <w:sz w:val="20"/>
          <w:szCs w:val="20"/>
        </w:rPr>
        <w:t xml:space="preserve">middleware components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seamless and secure communication between agents in multi-agent systems, ensuring efficient throughput and resilience under varying load conditions.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validated testing frameworks to rigorously assess the performance and safety standards of agent-based systems, significantly enhancing the reliability of deployment-ready AI tools.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Collaboratively created mechanisms for </w:t>
      </w:r>
      <w:r w:rsidRPr="00745DD3">
        <w:rPr>
          <w:rFonts w:ascii="Roboto Light" w:eastAsia="Roboto Light" w:hAnsi="Roboto Light" w:cs="Roboto Light"/>
          <w:b/>
          <w:bCs/>
          <w:color w:val="404040" w:themeColor="text1" w:themeTint="BF"/>
          <w:sz w:val="20"/>
          <w:szCs w:val="20"/>
        </w:rPr>
        <w:t xml:space="preserve">conflict resolution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preference aggregation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multi-agent settings to facilitate optimal decision-making in complex environments, contributing to advancements in </w:t>
      </w:r>
      <w:r w:rsidRPr="00745DD3">
        <w:rPr>
          <w:rFonts w:ascii="Roboto Light" w:eastAsia="Roboto Light" w:hAnsi="Roboto Light" w:cs="Roboto Light"/>
          <w:b/>
          <w:bCs/>
          <w:color w:val="404040" w:themeColor="text1" w:themeTint="BF"/>
          <w:sz w:val="20"/>
          <w:szCs w:val="20"/>
        </w:rPr>
        <w:t xml:space="preserve">AI alignment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reusable software components that serve as foundational elements for future research in </w:t>
      </w:r>
      <w:r w:rsidRPr="00745DD3">
        <w:rPr>
          <w:rFonts w:ascii="Roboto Light" w:eastAsia="Roboto Light" w:hAnsi="Roboto Light" w:cs="Roboto Light"/>
          <w:b/>
          <w:bCs/>
          <w:color w:val="404040" w:themeColor="text1" w:themeTint="BF"/>
          <w:sz w:val="20"/>
          <w:szCs w:val="20"/>
        </w:rPr>
        <w:t xml:space="preserve">AI alignment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reducing time-to-market for new project implementations and ensuring consistency across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insightful technical documentation including system architectures and implementation details which guided team members and external stakeholders, enhancing overall project clarity and collaborative efforts.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the evaluation and refinement of research prototypes by pioneering innovative methodologies that align with industry best practices, subsequently leading to the successful adoption of numerous AI safety protocols.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cross-functional teams to translate technical concepts into actionable insights, promoting an effective dialogue between engineering and policy advocacy concerning safe AI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industry-specific trends by actively participating in conferences and symposiums to bring back contemporary insights into the AI safety framework, fostering a culture of continuous learning.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and interns, providing guidance on best practices in software development and the nuances of </w:t>
      </w:r>
      <w:r w:rsidRPr="00745DD3">
        <w:rPr>
          <w:rFonts w:ascii="Roboto Light" w:eastAsia="Roboto Light" w:hAnsi="Roboto Light" w:cs="Roboto Light"/>
          <w:b/>
          <w:bCs/>
          <w:color w:val="404040" w:themeColor="text1" w:themeTint="BF"/>
          <w:sz w:val="20"/>
          <w:szCs w:val="20"/>
        </w:rPr>
        <w:t xml:space="preserve">AI systems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knowledge transfer and skill enhancement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a collaborative research paper focusing on </w:t>
      </w:r>
      <w:r w:rsidRPr="00745DD3">
        <w:rPr>
          <w:rFonts w:ascii="Roboto Light" w:eastAsia="Roboto Light" w:hAnsi="Roboto Light" w:cs="Roboto Light"/>
          <w:b/>
          <w:bCs/>
          <w:color w:val="404040" w:themeColor="text1" w:themeTint="BF"/>
          <w:sz w:val="20"/>
          <w:szCs w:val="20"/>
        </w:rPr>
        <w:t xml:space="preserve">AI alignment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published in a peer-reviewed journal, highlighting innovative methodologies and empirical findings that support organizational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development of educational materials for internal tooling to support the safety community, enhancing resources available for upcoming professionals in </w:t>
      </w:r>
      <w:r w:rsidRPr="00745DD3">
        <w:rPr>
          <w:rFonts w:ascii="Roboto Light" w:eastAsia="Roboto Light" w:hAnsi="Roboto Light" w:cs="Roboto Light"/>
          <w:b/>
          <w:bCs/>
          <w:color w:val="404040" w:themeColor="text1" w:themeTint="BF"/>
          <w:sz w:val="20"/>
          <w:szCs w:val="20"/>
        </w:rPr>
        <w:t xml:space="preserve">AI research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analytics to assess user interactions with internal tooling, refining systems based on feedback which improved usability and overall feedback scores from end-users in the safety research sector.</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partnerships with international organizations like the </w:t>
      </w:r>
      <w:r w:rsidRPr="00745DD3">
        <w:rPr>
          <w:rFonts w:ascii="Roboto Light" w:eastAsia="Roboto Light" w:hAnsi="Roboto Light" w:cs="Roboto Light"/>
          <w:b/>
          <w:bCs/>
          <w:color w:val="404040" w:themeColor="text1" w:themeTint="BF"/>
          <w:sz w:val="20"/>
          <w:szCs w:val="20"/>
        </w:rPr>
        <w:t xml:space="preserve">European Union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align research outcomes with global best practices in </w:t>
      </w:r>
      <w:r w:rsidRPr="00745DD3">
        <w:rPr>
          <w:rFonts w:ascii="Roboto Light" w:eastAsia="Roboto Light" w:hAnsi="Roboto Light" w:cs="Roboto Light"/>
          <w:b/>
          <w:bCs/>
          <w:color w:val="404040" w:themeColor="text1" w:themeTint="BF"/>
          <w:sz w:val="20"/>
          <w:szCs w:val="20"/>
        </w:rPr>
        <w:t xml:space="preserve">AI governance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advocating for policy adjustments and collaborative efforts.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conflict resolution algorithms and protocols to ensure seamless interactions among agents, drawing input from various stakeholders to facilitate an inclusive decision-making process.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developing enterprise-level applications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emphasizing scalable architecture and high performance throughout the software lifecycle while implementing advanced security features.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significant features for cloud-based solutions on </w:t>
      </w:r>
      <w:r w:rsidRPr="00745DD3">
        <w:rPr>
          <w:rFonts w:ascii="Roboto Light" w:eastAsia="Roboto Light" w:hAnsi="Roboto Light" w:cs="Roboto Light"/>
          <w:b/>
          <w:bCs/>
          <w:color w:val="404040" w:themeColor="text1" w:themeTint="BF"/>
          <w:sz w:val="20"/>
          <w:szCs w:val="20"/>
        </w:rPr>
        <w:t xml:space="preserve">Microsoft 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enabled key innovations in integrated systems and streamlined user experiences across various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RESTful APIs to facilitate communication between front-end and back-end systems, enhancing interoperability within the company’s software ecosystem while ensuring standards compliance.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automated testing strategies that improved code quality and delivery timelines, integrating </w:t>
      </w:r>
      <w:r w:rsidRPr="00745DD3">
        <w:rPr>
          <w:rFonts w:ascii="Roboto Light" w:eastAsia="Roboto Light" w:hAnsi="Roboto Light" w:cs="Roboto Light"/>
          <w:b/>
          <w:bCs/>
          <w:color w:val="404040" w:themeColor="text1" w:themeTint="BF"/>
          <w:sz w:val="20"/>
          <w:szCs w:val="20"/>
        </w:rPr>
        <w:t xml:space="preserve">CI/CD 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 tools like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promoting a culture of frequent releases and robust testing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data scientists to implement machine learning models in production environments, ensuring real-time analytics capabilities and enhancing data-driven decision-making across product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architecture discussions, actively contributing insights and best practices that improved project outcomes and fostered a collaborative team environment focused on excellence.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tuning and optimization on existing software solutions, applying best practices to elevate system capabilities, ultimately resulting in improved throughput and reduced latency metrics.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transition of legacy systems to more modern frameworks, focusing on </w:t>
      </w:r>
      <w:r w:rsidRPr="00745DD3">
        <w:rPr>
          <w:rFonts w:ascii="Roboto Light" w:eastAsia="Roboto Light" w:hAnsi="Roboto Light" w:cs="Roboto Light"/>
          <w:b/>
          <w:bCs/>
          <w:color w:val="404040" w:themeColor="text1" w:themeTint="BF"/>
          <w:sz w:val="20"/>
          <w:szCs w:val="20"/>
        </w:rPr>
        <w:t xml:space="preserve">microservices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enabling increased agility within software delivery methodologies, reducing dependencies and improving scalability.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user research sessions to align software functionality with the target audience's needs, directly informing product evolution and driving customer satisfaction initiatives over multiple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documentation and user manuals for software applications, facilitating ease of use and promoting effective onboarding processes for new team members and clients.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security measures within applications that addressed compliance requirements, working closely with legal and security teams to deliver solutions that protect company assets and user data.</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team workshops and training sessions, sharing knowledge about relevant technologies and tools, thus contributing to an enhanced skillset and capabilities of the engineering department.</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